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1856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the distribution or sale of certain flavored consumable hemp products;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1.</w:t>
      </w:r>
      <w:r xml:space="preserve">
        <w:t> </w:t>
      </w:r>
      <w:r xml:space="preserve">
        <w:t> </w:t>
      </w:r>
      <w:r>
        <w:t xml:space="preserve">Subchapter E, Chapter 443, Health and Safety Code, is amended by adding Section 443.2055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443.2055.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DISTRIBUTION OR SALE OF CERTAIN FLAVORED CONSUMABLE HEMP PRODUCTS PROHIBITED. (a) </w:t>
      </w:r>
      <w:r>
        <w:rPr>
          <w:u w:val="single"/>
        </w:rPr>
        <w:t xml:space="preserve"> </w:t>
      </w:r>
      <w:r>
        <w:rPr>
          <w:u w:val="single"/>
        </w:rPr>
        <w:t xml:space="preserve">A person commits an offense if the person knowingly distributes, sells, or possesses with intent to distribute or sell a consumable hemp product that is marketed or packaged to appear similar to a candy.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 An offense under this section is a felony of the second degree.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2.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