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Kolkhorst</w:t>
      </w:r>
      <w:r xml:space="preserve">
        <w:tab wTab="150" tlc="none" cTlc="0"/>
      </w:r>
      <w:r>
        <w:t xml:space="preserve">S.B.</w:t>
      </w:r>
      <w:r xml:space="preserve">
        <w:t> </w:t>
      </w:r>
      <w:r>
        <w:t xml:space="preserve">No.</w:t>
      </w:r>
      <w:r xml:space="preserve">
        <w:t> </w:t>
      </w:r>
      <w:r>
        <w:t xml:space="preserve">1860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a climate policy in a municipal charter.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9, Local Government Code, is amended by adding Section 9.0015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9.0015.</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"climate charter" means a charter provision or charter amendment establishing a comprehensive rule or policy statement that purports to address climate change or the municipality's environmental impact, including water and energy use and air pollution.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9.003(a),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9.0045, the</w:t>
      </w:r>
      <w:r>
        <w:t xml:space="preserve"> [</w:t>
      </w:r>
      <w:r>
        <w:rPr>
          <w:strike/>
        </w:rPr>
        <w:t xml:space="preserve">The</w:t>
      </w:r>
      <w:r>
        <w:t xml:space="preserve">] charter prepared by the charter commission shall be submitted to the qualified voters of the municipality at an election to be held on the first authorized uniform election date prescribed by the Election Code that allows sufficient time to comply with other requirements of law and that occurs on or after the 40th day after the date the charter commission completes its work.  The governing body of the municipality shall provide for the submission of the charter at the election to the extent that the provisions for submission are not prescribed by general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9.004(a),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9.0045, the</w:t>
      </w:r>
      <w:r>
        <w:t xml:space="preserve"> [</w:t>
      </w:r>
      <w:r>
        <w:rPr>
          <w:strike/>
        </w:rPr>
        <w:t xml:space="preserve">The</w:t>
      </w:r>
      <w:r>
        <w:t xml:space="preserve">] governing body of a municipality on its own motion may submit a proposed charter amendment to the municipality's qualified voters for their approval at an election.  The governing body shall submit a proposed charter amendment to the voters for their approval at an election if the submission is supported by a petition signed by a number of qualified voters of the municipality equal to at least five percent of the number of qualified voters of the municipality or 20,000, whichever number is the smaller.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9, Local Government Code, is amended by adding Section 9.0045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9.0045.</w:t>
      </w:r>
      <w:r>
        <w:rPr>
          <w:u w:val="single"/>
        </w:rPr>
        <w:t xml:space="preserve"> </w:t>
      </w:r>
      <w:r>
        <w:rPr>
          <w:u w:val="single"/>
        </w:rPr>
        <w:t xml:space="preserve"> </w:t>
      </w:r>
      <w:r>
        <w:rPr>
          <w:u w:val="single"/>
        </w:rPr>
        <w:t xml:space="preserve">APPROVAL OF CLIMATE CHARTER OR AMENDMENT TO CHARTER BY LEGISLATURE REQUIRED.  A municipality may not hold an election for voter approval of a proposed climate charter unless the legislature adopts a resolution approving the proposed climate charter.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climate charter adopted by a municipality before the effective date of this Act remains valid and enforceable until January 1, 2026.</w:t>
      </w:r>
      <w:r xml:space="preserve">
        <w:t> </w:t>
      </w:r>
      <w:r xml:space="preserve">
        <w:t> </w:t>
      </w:r>
      <w:r>
        <w:t xml:space="preserve">Not later than January 1, 2025, a municipality that adopted a climate charter before the effective date of this Act must comply with the approval requirement under Section 9.0045, Local Government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