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88R30611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1864</w:t>
      </w:r>
    </w:p>
    <w:p w:rsidR="003F3435" w:rsidRDefault="0032493E">
      <w:pPr>
        <w:ind w:firstLine="720"/>
        <w:jc w:val="both"/>
      </w:pPr>
      <w:r>
        <w:t xml:space="preserve">(Leo-Wilson,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1864:</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C.S.S.B.</w:t>
      </w:r>
      <w:r xml:space="preserve">
        <w:t> </w:t>
      </w:r>
      <w:r>
        <w:t xml:space="preserve">No.</w:t>
      </w:r>
      <w:r xml:space="preserve">
        <w:t> </w:t>
      </w:r>
      <w:r>
        <w:t xml:space="preserve">1864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placements for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264, Family Code, is amended by adding Section 264.020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264.020.</w:t>
      </w:r>
      <w:r>
        <w:rPr>
          <w:u w:val="single"/>
        </w:rPr>
        <w:t xml:space="preserve"> </w:t>
      </w:r>
      <w:r>
        <w:rPr>
          <w:u w:val="single"/>
        </w:rPr>
        <w:t xml:space="preserve"> </w:t>
      </w:r>
      <w:r>
        <w:rPr>
          <w:u w:val="single"/>
        </w:rPr>
        <w:t xml:space="preserve">PLACEMENT OF CHILDREN IN CONSERVATORSHIP OF DEPARTMENT OF FAMILY AND PROTECTIVE SERVICES.  (a) </w:t>
      </w:r>
      <w:r>
        <w:rPr>
          <w:u w:val="single"/>
        </w:rPr>
        <w:t xml:space="preserve"> </w:t>
      </w:r>
      <w:r>
        <w:rPr>
          <w:u w:val="single"/>
        </w:rPr>
        <w:t xml:space="preserve">In this section, "child"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22 years of age and for whom the department has been appointed managing conservator of the child before the child's 18th birthday;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responsibility of an agency with which the department has entered into an agreement to provide care and supervision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the initial or a subsequent placement decision for a child, the department shall give preference to persons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related to the child by blood, marriage, or adoption;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with whom the child has a long-standing and significant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foster home;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general residential operation.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264.020, Family Code, as added by this Act, applies only to an initial or subsequent placement decision made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