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1866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2023; March</w:t>
      </w:r>
      <w:r xml:space="preserve">
        <w:t> </w:t>
      </w:r>
      <w:r>
        <w:t xml:space="preserve">20,</w:t>
      </w:r>
      <w:r xml:space="preserve">
        <w:t> </w:t>
      </w:r>
      <w:r>
        <w:t xml:space="preserve">2023, read first time and referred to Committee on Business &amp; Commerce;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1866</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customer-sited distributed generation facilities owned by certain non-ERCOT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36.215.</w:t>
      </w:r>
      <w:r>
        <w:rPr>
          <w:u w:val="single"/>
        </w:rPr>
        <w:t xml:space="preserve"> </w:t>
      </w:r>
      <w:r>
        <w:rPr>
          <w:u w:val="single"/>
        </w:rPr>
        <w:t xml:space="preserve"> </w:t>
      </w:r>
      <w:r>
        <w:rPr>
          <w:u w:val="single"/>
        </w:rPr>
        <w:t xml:space="preserve">RECOVERY OF INVESTMENT IN DISTRIBUTED GENERATION AND RATES FOR BACKUP ELECTRIC SERVICE FOR CERTAIN NON-ERCOT UTILITIES.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nameplate capacity of not more than 10 megawatts;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capable of generating and providing backup electric service to a customer during a power grid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sited at or adjacent to the customer's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"Host customer" means a customer receiving backup electric service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nonfuel costs to the host customer must be based on the cost to purchase, install, interconnect, own, operate, and maintain the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rate proceeding in which an electric utility seeks to recover the utility's investment in a customer-sited distributed generation facility that is interconnected to the utility's distribution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full cost of the utility's investment is eligible for recovery;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facility and backup electric service revenues must be allocated among customer classes on the same basis used to allocate the utility's distribution-level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