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88R13829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pediatric acute-onset neuropsychiatric syndrome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119A.003, Health and Safety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advisory council is composed of the following 19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member designated by the executive commissioner;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members of the senate appointed by the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members of the house of representatives appointed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14 members appointed by the governor with the following qualifications: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three members who are health care providers, as defined by Section 161.201;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one member who is a licensed health care provider with expertise in treating persons with pediatric acute-onset neuropsychiatric syndrome, including pediatric autoimmune neuropsychiatric disorders associated with streptococcal infections, and autism;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who is an osteopathic physician with experience treating persons with pediatric acute-onset neuropsychiatric syndrome, including pediatric autoimmune neuropsychiatric disorders associated with streptococcal infections;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member who is a pediatrician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member who is a child psychiatrist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one member who is an immunologist with experience treating persons with pediatric acute-onset neuropsychiatric syndrome, including pediatric autoimmune neuropsychiatric disorders associated with streptococcal infections, and the use of intravenous immunoglobulin;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(F)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who is a dietician or nutritionist who provides services to children with autism spectrum disorders, attention-deficit/hyperactivity disorders, and other neuro-developmental conditions;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(G)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with experience in conducting research on pediatric acute-onset neuropsychiatric syndrome, including pediatric autoimmune neuropsychiatric disorders associated with streptococcal infections, obsessive-compulsive disorder, tic disorders, and other neurological disorders;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(H)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[</w:t>
      </w:r>
      <w:r>
        <w:rPr>
          <w:strike/>
        </w:rPr>
        <w:t xml:space="preserve">licensed by this state to practice as</w:t>
      </w:r>
      <w:r>
        <w:t xml:space="preserve">] a social worker;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the Texas Education Agency with expertise in special education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>
        <w:t xml:space="preserve">[</w:t>
      </w:r>
      <w:r>
        <w:rPr>
          <w:strike/>
        </w:rPr>
        <w:t xml:space="preserve">(J)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psychologist licensed under Chapter 501, Occupations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(K)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 professional organization in this state for school nurses;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 xml:space="preserve">
        <w:t> </w:t>
      </w:r>
      <w:r>
        <w:t xml:space="preserve">[</w:t>
      </w:r>
      <w:r>
        <w:rPr>
          <w:strike/>
        </w:rPr>
        <w:t xml:space="preserve">(L)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 xml:space="preserve">
        <w:t> </w:t>
      </w:r>
      <w:r>
        <w:t xml:space="preserve">[</w:t>
      </w:r>
      <w:r>
        <w:rPr>
          <w:strike/>
        </w:rPr>
        <w:t xml:space="preserve">(M)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autism;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 xml:space="preserve">
        <w:t> </w:t>
      </w:r>
      <w:r>
        <w:t xml:space="preserve">[</w:t>
      </w:r>
      <w:r>
        <w:rPr>
          <w:strike/>
        </w:rPr>
        <w:t xml:space="preserve">(N)</w:t>
      </w:r>
      <w:r>
        <w:t xml:space="preserve">]</w:t>
      </w:r>
      <w:r xml:space="preserve">
        <w:t> </w:t>
      </w:r>
      <w:r xml:space="preserve">
        <w:t> </w:t>
      </w:r>
      <w:r>
        <w:t xml:space="preserve">one member who is a parent of a child who has been diagnosed with pediatric acute-onset neuropsychiatric syndrome or autism.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advisory council member appointed under Subsection (a)(2) or (3) may designate another individual to serve in the member's place on the advisory council at the pleasure of the member. </w:t>
      </w:r>
      <w:r>
        <w:rPr>
          <w:u w:val="single"/>
        </w:rPr>
        <w:t xml:space="preserve"> </w:t>
      </w:r>
      <w:r>
        <w:rPr>
          <w:u w:val="single"/>
        </w:rPr>
        <w:t xml:space="preserve">An advisory council member who designates another individual to serve in the member's place under this subsection shall provide written notification to the chair of the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119A.005,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119A.005.</w:t>
      </w:r>
      <w:r xml:space="preserve">
        <w:t> </w:t>
      </w:r>
      <w:r xml:space="preserve">
        <w:t> </w:t>
      </w:r>
      <w:r>
        <w:t xml:space="preserve">CHAIR AND VICE CHAIR.  Members of the advisory council shall elect from among </w:t>
      </w:r>
      <w:r>
        <w:rPr>
          <w:u w:val="single"/>
        </w:rPr>
        <w:t xml:space="preserve">its</w:t>
      </w:r>
      <w:r>
        <w:t xml:space="preserve"> [</w:t>
      </w:r>
      <w:r>
        <w:rPr>
          <w:strike/>
        </w:rPr>
        <w:t xml:space="preserve">the legislative</w:t>
      </w:r>
      <w:r>
        <w:t xml:space="preserve">] members </w:t>
      </w:r>
      <w:r>
        <w:rPr>
          <w:u w:val="single"/>
        </w:rPr>
        <w:t xml:space="preserve">by a majority vote</w:t>
      </w:r>
      <w:r>
        <w:t xml:space="preserve"> [</w:t>
      </w:r>
      <w:r>
        <w:rPr>
          <w:strike/>
        </w:rPr>
        <w:t xml:space="preserve">of the advisory council</w:t>
      </w:r>
      <w:r>
        <w:t xml:space="preserve">] a chair and vice chair.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