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88R14825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1892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land for appraisal for ad valorem tax purposes as qualified open-space land based on its use to raise or keep bees.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23.51, Tax Code, is amended by adding Subdivision (9) to read as follows: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"Bee" and "colony" have the meanings assigned by Section 131.001, Agriculture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23, Tax Code, is amended by adding Section 23.5215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23.5215.</w:t>
      </w:r>
      <w:r>
        <w:rPr>
          <w:u w:val="single"/>
        </w:rPr>
        <w:t xml:space="preserve"> </w:t>
      </w:r>
      <w:r>
        <w:rPr>
          <w:u w:val="single"/>
        </w:rPr>
        <w:t xml:space="preserve"> </w:t>
      </w:r>
      <w:r>
        <w:rPr>
          <w:u w:val="single"/>
        </w:rPr>
        <w:t xml:space="preserve">STANDARDS FOR QUALIFICATION OF LAND FOR APPRAISAL BASED ON USE TO RAISE OR KEEP BEES.  (a) Except as provided by Subsection (b), for land to qualify for appraisal under this subchapter for a tax year on the basis of its use to raise or keep bees: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 must contain at least six colonies;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colonies must be located on the land for at least nine months of the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land consists of more than 5 acres, the land must contain at least one additional colony for each additional 2.5 acres.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subchapter, land that qualifies for appraisal under this subchapter solely on the basis that the land is used to raise or keep bees may not subsequently qualify under Section 23.51(7) for appraisal under this subchapter if the owner changes the use of the land to wildlife management.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the appraisal of land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