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USE OF CERTAIN SOCIAL MEDIA APPLICATIONS AND SERVICES ON GOVERNMENTAL ENTITY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proclamation of the governor under Section 620.005.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a district court, or the Texas Judicial Council or another agency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municipality, county, or special purpose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DEFINING SECURITY RISK TO THIS STATE. </w:t>
      </w:r>
      <w:r>
        <w:rPr>
          <w:u w:val="single"/>
        </w:rPr>
        <w:t xml:space="preserve"> </w:t>
      </w:r>
      <w:r>
        <w:rPr>
          <w:u w:val="single"/>
        </w:rPr>
        <w:t xml:space="preserve">For purposes of this chapter, a social media application or service poses a risk to this 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of the application or service may be required by a foreign government, or an entity associated with a foreign government, to provide confidential or private personal information collected by the provider through the application or service to the foreign government or associated entity without substantial due process rights or similar legal protections;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or service poses a similar risk to the security of this state's sensitive information, critical infrastructure, or both, as an application or service described by Section 620.001(1)(A).</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PROHIBITION; MODEL POLICY.  (a) </w:t>
      </w:r>
      <w:r>
        <w:rPr>
          <w:u w:val="single"/>
        </w:rPr>
        <w:t xml:space="preserve"> </w:t>
      </w:r>
      <w:r>
        <w:rPr>
          <w:u w:val="single"/>
        </w:rPr>
        <w:t xml:space="preserve">Subject to Section 620.004, a governmental entity shall adopt a policy prohibiting the installation or use of a covered application on any device owned or leased by the governmental entity and requiring the removal of covered applications from those devices.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and the Department of Public Safety shall jointly develop a model policy for governmental entities to use in developing the policy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620.003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posed to this state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620.005.</w:t>
      </w:r>
      <w:r>
        <w:rPr>
          <w:u w:val="single"/>
        </w:rPr>
        <w:t xml:space="preserve"> </w:t>
      </w:r>
      <w:r>
        <w:rPr>
          <w:u w:val="single"/>
        </w:rPr>
        <w:t xml:space="preserve"> </w:t>
      </w:r>
      <w:r>
        <w:rPr>
          <w:u w:val="single"/>
        </w:rPr>
        <w:t xml:space="preserve">APPLICATIONS IDENTIFIED BY GOVERNOR'S PROCLAMATION.  The governor by proclamation may identify social media applications or services that pose a risk to this state as described by Section 620.002.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620.006.</w:t>
      </w:r>
      <w:r>
        <w:rPr>
          <w:u w:val="single"/>
        </w:rPr>
        <w:t xml:space="preserve"> </w:t>
      </w:r>
      <w:r>
        <w:rPr>
          <w:u w:val="single"/>
        </w:rPr>
        <w:t xml:space="preserve"> </w:t>
      </w:r>
      <w:r>
        <w:rPr>
          <w:u w:val="single"/>
        </w:rPr>
        <w:t xml:space="preserve">APPLICATION IDENTIFIED BY DEPARTMENT OF INFORMATION RESOURCES AND DEPARTMENT OF PUBLIC SAFETY.  (a) </w:t>
      </w:r>
      <w:r>
        <w:rPr>
          <w:u w:val="single"/>
        </w:rPr>
        <w:t xml:space="preserve"> </w:t>
      </w:r>
      <w:r>
        <w:rPr>
          <w:u w:val="single"/>
        </w:rPr>
        <w:t xml:space="preserve">The Department of Information Resources and the Department of Public Safety shall jointly identify social media applications or services that pose a risk to this state as described by Section 620.002.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annually submit a list of applications and services identified under Subsection (a) to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list on the department's publicly accessible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periodically update the list on that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date the Department of Information Resources and the Department of Public Safety make available the model policy required by Section 620.003(b), Government Code, as added by this Act, each governmental entity shall adopt the policy required by Section 620.003(a),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1893 passed the Senate on April</w:t>
      </w:r>
      <w:r xml:space="preserve">
        <w:t> </w:t>
      </w:r>
      <w:r>
        <w:t xml:space="preserve">18,</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16,</w:t>
      </w:r>
      <w:r xml:space="preserve">
        <w:t> </w:t>
      </w:r>
      <w:r>
        <w:t xml:space="preserve">2023, Senate refused to concur in House amendments and requested appointment of Conference Committee; May</w:t>
      </w:r>
      <w:r xml:space="preserve">
        <w:t> </w:t>
      </w:r>
      <w:r>
        <w:t xml:space="preserve">17,</w:t>
      </w:r>
      <w:r xml:space="preserve">
        <w:t> </w:t>
      </w:r>
      <w:r>
        <w:t xml:space="preserve">2023, House granted request of the Senate; May</w:t>
      </w:r>
      <w:r xml:space="preserve">
        <w:t> </w:t>
      </w:r>
      <w:r>
        <w:t xml:space="preserve">27,</w:t>
      </w:r>
      <w:r xml:space="preserve">
        <w:t> </w:t>
      </w:r>
      <w:r>
        <w:t xml:space="preserve">2023,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1893 passed the House, with amendments, on May</w:t>
      </w:r>
      <w:r xml:space="preserve">
        <w:t> </w:t>
      </w:r>
      <w:r>
        <w:t xml:space="preserve">9,</w:t>
      </w:r>
      <w:r xml:space="preserve">
        <w:t> </w:t>
      </w:r>
      <w:r>
        <w:t xml:space="preserve">2023, by the following vote:</w:t>
      </w:r>
      <w:r xml:space="preserve">
        <w:t> </w:t>
      </w:r>
      <w:r xml:space="preserve">
        <w:t> </w:t>
      </w:r>
      <w:r>
        <w:t xml:space="preserve">Yeas</w:t>
      </w:r>
      <w:r xml:space="preserve">
        <w:t> </w:t>
      </w:r>
      <w:r>
        <w:t xml:space="preserve">144, Nays</w:t>
      </w:r>
      <w:r xml:space="preserve">
        <w:t> </w:t>
      </w:r>
      <w:r>
        <w:t xml:space="preserve">0, two present not voting; May</w:t>
      </w:r>
      <w:r xml:space="preserve">
        <w:t> </w:t>
      </w:r>
      <w:r>
        <w:t xml:space="preserve">17,</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139,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