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1893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2023; March</w:t>
      </w:r>
      <w:r xml:space="preserve">
        <w:t> </w:t>
      </w:r>
      <w:r>
        <w:t xml:space="preserve">20,</w:t>
      </w:r>
      <w:r xml:space="preserve">
        <w:t> </w:t>
      </w:r>
      <w:r>
        <w:t xml:space="preserve">2023, read first time and referred to Committee on State Affairs; April</w:t>
      </w:r>
      <w:r xml:space="preserve">
        <w:t> </w:t>
      </w:r>
      <w:r>
        <w:t xml:space="preserve">13,</w:t>
      </w:r>
      <w:r xml:space="preserve">
        <w:t> </w:t>
      </w:r>
      <w:r>
        <w:t xml:space="preserve">2023, reported adversely, with favorable Committee Substitute by the following vote:</w:t>
      </w:r>
      <w:r>
        <w:t xml:space="preserve"> </w:t>
      </w:r>
      <w:r>
        <w:t xml:space="preserve"> </w:t>
      </w:r>
      <w:r>
        <w:t xml:space="preserve">Yeas 11, Nays 0; April</w:t>
      </w:r>
      <w:r xml:space="preserve">
        <w:t> </w:t>
      </w:r>
      <w:r>
        <w:t xml:space="preserve">13,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1893</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the use of certain social media applications and services on devices owned or leased by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w:t>
      </w:r>
      <w:r>
        <w:rPr>
          <w:u w:val="single"/>
        </w:rPr>
        <w:t xml:space="preserve"> </w:t>
      </w:r>
      <w:r>
        <w:rPr>
          <w:u w:val="single"/>
        </w:rPr>
        <w:t xml:space="preserve">USE OF CERTAIN SOCIAL MEDIA APPLICATIONS AND SERVICES ON GOVERNMENTAL ENTITY DEVICES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"Covered application"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social media service TikTok or any successor application or service developed or provided by ByteDance Limited or an entity owned by ByteDance Limited;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social media application or service specified by executive order of the governor under Section 620.005.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department, commission, board, office, or other agency that is in the executive or legislative branch of state government and that was created by the constitution or a statute, including an institution of higher education as defined by Section 61.003, Education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supreme court, the court of criminal appeals, a court of appeals, or the Texas Judicial Council or another agency in the judicial branch of state government;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subdivision of this state, including a municipality, county, or special purpose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DEFINING SECURITY RISK. </w:t>
      </w:r>
      <w:r>
        <w:rPr>
          <w:u w:val="single"/>
        </w:rPr>
        <w:t xml:space="preserve"> </w:t>
      </w:r>
      <w:r>
        <w:rPr>
          <w:u w:val="single"/>
        </w:rPr>
        <w:t xml:space="preserve">For purposes of this chapter, a social media application poses a risk to the security of governmental entity information if the application's service provider may be required by a foreign government, or an entity associated with a foreign government, to provide confidential or private personal information collected by the service provider through the application to the foreign government or associated entity without substantial due process rights or similar legal protections.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620.003.</w:t>
      </w:r>
      <w:r>
        <w:rPr>
          <w:u w:val="single"/>
        </w:rPr>
        <w:t xml:space="preserve"> </w:t>
      </w:r>
      <w:r>
        <w:rPr>
          <w:u w:val="single"/>
        </w:rPr>
        <w:t xml:space="preserve"> </w:t>
      </w:r>
      <w:r>
        <w:rPr>
          <w:u w:val="single"/>
        </w:rPr>
        <w:t xml:space="preserve">PROHIBITION.  Subject to Section 620.004, a governmental entity shall adopt a policy prohibiting the installation or use of a covered application on any device owned or leased by the governmental entity and requiring the removal of covered applications from those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620.004.</w:t>
      </w:r>
      <w:r>
        <w:rPr>
          <w:u w:val="single"/>
        </w:rPr>
        <w:t xml:space="preserve"> </w:t>
      </w:r>
      <w:r>
        <w:rPr>
          <w:u w:val="single"/>
        </w:rPr>
        <w:t xml:space="preserve"> </w:t>
      </w:r>
      <w:r>
        <w:rPr>
          <w:u w:val="single"/>
        </w:rPr>
        <w:t xml:space="preserve">EXCEPTIONS; MITIGATING MEASURES. </w:t>
      </w:r>
      <w:r>
        <w:rPr>
          <w:u w:val="single"/>
        </w:rPr>
        <w:t xml:space="preserve"> </w:t>
      </w:r>
      <w:r>
        <w:rPr>
          <w:u w:val="single"/>
        </w:rPr>
        <w:t xml:space="preserve">(a) </w:t>
      </w:r>
      <w:r>
        <w:rPr>
          <w:u w:val="single"/>
        </w:rPr>
        <w:t xml:space="preserve"> </w:t>
      </w:r>
      <w:r>
        <w:rPr>
          <w:u w:val="single"/>
        </w:rPr>
        <w:t xml:space="preserve">A policy adopted under Section 620.003 may provide for the installation and use of a covered application to the extent necessary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law enforcement;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or implementing information security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allowing the installation and use of a covered application under Subsection (a)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measures to mitigate risks to the security of governmental entity information during the use of the covered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documentation of those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620.005.</w:t>
      </w:r>
      <w:r>
        <w:rPr>
          <w:u w:val="single"/>
        </w:rPr>
        <w:t xml:space="preserve"> </w:t>
      </w:r>
      <w:r>
        <w:rPr>
          <w:u w:val="single"/>
        </w:rPr>
        <w:t xml:space="preserve"> </w:t>
      </w:r>
      <w:r>
        <w:rPr>
          <w:u w:val="single"/>
        </w:rPr>
        <w:t xml:space="preserve">APPLICATIONS IDENTIFIED BY GOVERNOR'S ORDER.  The governor by executive order may identify social media applications or services that pose a similar risk to the security of governmental entity information as the service described by Section 620.001(1)(A).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60th day after the effective date of this Act, each governmental entity shall adopt the policy required by Chapter 620,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