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88R8248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1894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vehicles transporting iron or steel products;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executive director of the Texas Department of Transportation has set a maximum weight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621.301(e),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commissioners court has set a maximum weight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623.012(a)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permit under Section 623.011, other than a permit under that section to operate a vehicle loaded with timber or pulp wood, wood chips, cotton, or agricultural products in their natural state, and an applicant for a permit under Section 623.321 </w:t>
      </w:r>
      <w:r>
        <w:rPr>
          <w:u w:val="single"/>
        </w:rPr>
        <w:t xml:space="preserve">or 623.451</w:t>
      </w:r>
      <w:r>
        <w:t xml:space="preserve"> shall file with the department:</w:t>
      </w:r>
    </w:p>
    <w:p w:rsidR="003F3435" w:rsidRDefault="0032493E">
      <w:pPr>
        <w:spacing w:line="480" w:lineRule="auto"/>
        <w:ind w:firstLine="1440"/>
        <w:jc w:val="both"/>
      </w:pPr>
      <w:r>
        <w:t xml:space="preserve">(1)</w:t>
      </w:r>
      <w:r xml:space="preserve">
        <w:t> </w:t>
      </w:r>
      <w:r xml:space="preserve">
        <w:t> </w:t>
      </w:r>
      <w:r>
        <w:t xml:space="preserve">a blanket bond; or</w:t>
      </w:r>
    </w:p>
    <w:p w:rsidR="003F3435" w:rsidRDefault="0032493E">
      <w:pPr>
        <w:spacing w:line="480" w:lineRule="auto"/>
        <w:ind w:firstLine="1440"/>
        <w:jc w:val="both"/>
      </w:pPr>
      <w:r>
        <w:t xml:space="preserve">(2)</w:t>
      </w:r>
      <w:r xml:space="preserve">
        <w:t> </w:t>
      </w:r>
      <w:r xml:space="preserve">
        <w:t> </w:t>
      </w:r>
      <w:r>
        <w:t xml:space="preserve">an irrevocable letter of credit issued by a financial institution the deposits of which are guaranteed by the Federal Deposit Insurance Corporation.</w:t>
      </w:r>
    </w:p>
    <w:p w:rsidR="003F3435" w:rsidRDefault="0032493E">
      <w:pPr>
        <w:spacing w:line="480" w:lineRule="auto"/>
        <w:ind w:firstLine="720"/>
        <w:jc w:val="both"/>
      </w:pPr>
      <w:r>
        <w:t xml:space="preserve">(b)</w:t>
      </w:r>
      <w:r xml:space="preserve">
        <w:t> </w:t>
      </w:r>
      <w:r xml:space="preserve">
        <w:t> </w:t>
      </w:r>
      <w:r>
        <w:t xml:space="preserve">The bond or letter of credit must:</w:t>
      </w:r>
    </w:p>
    <w:p w:rsidR="003F3435" w:rsidRDefault="0032493E">
      <w:pPr>
        <w:spacing w:line="480" w:lineRule="auto"/>
        <w:ind w:firstLine="1440"/>
        <w:jc w:val="both"/>
      </w:pPr>
      <w:r>
        <w:t xml:space="preserve">(1)</w:t>
      </w:r>
      <w:r xml:space="preserve">
        <w:t> </w:t>
      </w:r>
      <w:r xml:space="preserve">
        <w:t> </w:t>
      </w:r>
      <w:r>
        <w:t xml:space="preserve">be in the amount of $15,000 payable to the counties of this state;</w:t>
      </w:r>
    </w:p>
    <w:p w:rsidR="003F3435" w:rsidRDefault="0032493E">
      <w:pPr>
        <w:spacing w:line="480" w:lineRule="auto"/>
        <w:ind w:firstLine="1440"/>
        <w:jc w:val="both"/>
      </w:pPr>
      <w:r>
        <w:t xml:space="preserve">(2)</w:t>
      </w:r>
      <w:r xml:space="preserve">
        <w:t> </w:t>
      </w:r>
      <w:r xml:space="preserve">
        <w:t> </w:t>
      </w:r>
      <w:r>
        <w:t xml:space="preserve">be conditioned that the applicant will pay a county for any damage to a road or bridge of the county caused by the operation of the vehicle:</w:t>
      </w:r>
    </w:p>
    <w:p w:rsidR="003F3435" w:rsidRDefault="0032493E">
      <w:pPr>
        <w:spacing w:line="480" w:lineRule="auto"/>
        <w:ind w:firstLine="2160"/>
        <w:jc w:val="both"/>
      </w:pPr>
      <w:r>
        <w:t xml:space="preserve">(A)</w:t>
      </w:r>
      <w:r xml:space="preserve">
        <w:t> </w:t>
      </w:r>
      <w:r xml:space="preserve">
        <w:t> </w:t>
      </w:r>
      <w:r>
        <w:t xml:space="preserve">for which the permit is issued at a heavier weight than the maximum weights authorized by Subchapter B of Chapter 621 or Section 621.301</w:t>
      </w:r>
      <w:r>
        <w:rPr>
          <w:u w:val="single"/>
        </w:rPr>
        <w:t xml:space="preserve">,</w:t>
      </w:r>
      <w:r>
        <w:t xml:space="preserve"> [</w:t>
      </w:r>
      <w:r>
        <w:rPr>
          <w:strike/>
        </w:rPr>
        <w:t xml:space="preserve">or</w:t>
      </w:r>
      <w:r>
        <w:t xml:space="preserve">] 623.321</w:t>
      </w:r>
      <w:r>
        <w:rPr>
          <w:u w:val="single"/>
        </w:rPr>
        <w:t xml:space="preserve">, or 623.451</w:t>
      </w:r>
      <w:r>
        <w:t xml:space="preserve">; or</w:t>
      </w:r>
    </w:p>
    <w:p w:rsidR="003F3435" w:rsidRDefault="0032493E">
      <w:pPr>
        <w:spacing w:line="480" w:lineRule="auto"/>
        <w:ind w:firstLine="2160"/>
        <w:jc w:val="both"/>
      </w:pPr>
      <w:r>
        <w:t xml:space="preserve">(B)</w:t>
      </w:r>
      <w:r xml:space="preserve">
        <w:t> </w:t>
      </w:r>
      <w:r xml:space="preserve">
        <w:t> </w:t>
      </w:r>
      <w:r>
        <w:t xml:space="preserve">that is in violation of Section 623.323 </w:t>
      </w:r>
      <w:r>
        <w:rPr>
          <w:u w:val="single"/>
        </w:rPr>
        <w:t xml:space="preserve">or 623.453</w:t>
      </w:r>
      <w:r>
        <w:t xml:space="preserve">; and</w:t>
      </w:r>
    </w:p>
    <w:p w:rsidR="003F3435" w:rsidRDefault="0032493E">
      <w:pPr>
        <w:spacing w:line="480" w:lineRule="auto"/>
        <w:ind w:firstLine="1440"/>
        <w:jc w:val="both"/>
      </w:pPr>
      <w:r>
        <w:t xml:space="preserve">(3)</w:t>
      </w:r>
      <w:r xml:space="preserve">
        <w:t> </w:t>
      </w:r>
      <w:r xml:space="preserve">
        <w:t> </w:t>
      </w:r>
      <w:r>
        <w:t xml:space="preserve">provide that the issuer is to notify the county and the applicant in writing promptly after a payment is made by the issuer on the bond or letter of credit.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623, Transportation Code, is amended by adding Subchapter W to read as follows:</w:t>
      </w:r>
    </w:p>
    <w:p w:rsidR="003F3435" w:rsidRDefault="0032493E">
      <w:pPr>
        <w:spacing w:line="480" w:lineRule="auto"/>
        <w:jc w:val="center"/>
      </w:pPr>
      <w:r>
        <w:rPr>
          <w:u w:val="single"/>
        </w:rPr>
        <w:t xml:space="preserve">SUBCHAPTER W.  VEHICLES TRANSPORTING IRON OR STEEL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623.451.</w:t>
      </w:r>
      <w:r>
        <w:rPr>
          <w:u w:val="single"/>
        </w:rPr>
        <w:t xml:space="preserve"> </w:t>
      </w:r>
      <w:r>
        <w:rPr>
          <w:u w:val="single"/>
        </w:rPr>
        <w:t xml:space="preserve"> </w:t>
      </w:r>
      <w:r>
        <w:rPr>
          <w:u w:val="single"/>
        </w:rPr>
        <w:t xml:space="preserve">PERMIT.  (a)  The department may issue a permit under this subchapter, as an alternative to a permit issued under Section 623.011, authorizing a person to operate a vehicle or combination of vehicles that is being used to transport indivisible loads of iron or steel products, including scrap iron and steel and iron and steel recycling material, in a county producing more than 100,000 tons annually of iron products, steel products, or a combination of iron and steel products, as determined by the department, at the weight limits prescribed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operate over a road or highway a vehicle or combination of vehicles issued a permit under this section at a gross weight that is not heavier than 96,000 pounds, if the gross load carried on any tandem axle of the vehicle or combination of vehicles does not exceed 44,000 pounds.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621.508 does not apply to a vehicle or combination of vehicles operated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annually update the number of counties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623.452.</w:t>
      </w:r>
      <w:r>
        <w:rPr>
          <w:u w:val="single"/>
        </w:rPr>
        <w:t xml:space="preserve"> </w:t>
      </w:r>
      <w:r>
        <w:rPr>
          <w:u w:val="single"/>
        </w:rPr>
        <w:t xml:space="preserve"> </w:t>
      </w:r>
      <w:r>
        <w:rPr>
          <w:u w:val="single"/>
        </w:rPr>
        <w:t xml:space="preserve">QUALIFICATION; REQUIREMENTS.  (a)  To qualify for a permit under this subchapter for a vehicle or combination of vehicles,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a permit fee of $900;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in the permit application the counties described by Section 623.451(a) in which the vehicle or combination of vehicles will be operated;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the security requirement of Section 623.012.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valid for one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carried in the vehicle for which it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623.453.</w:t>
      </w:r>
      <w:r>
        <w:rPr>
          <w:u w:val="single"/>
        </w:rPr>
        <w:t xml:space="preserve"> </w:t>
      </w:r>
      <w:r>
        <w:rPr>
          <w:u w:val="single"/>
        </w:rPr>
        <w:t xml:space="preserve"> </w:t>
      </w:r>
      <w:r>
        <w:rPr>
          <w:u w:val="single"/>
        </w:rPr>
        <w:t xml:space="preserve">NOTIFICATION.  (a)  For purposes of this section, "financially responsible party" means the owner of the vehicle or combination of vehicles, the party operating the vehicle or combination of vehicles, or a person that hires, leases, rents, or subcontracts the vehicle or combination of vehicles for use on a road maintained by a county or a state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vehicle or combination of vehicles for which a permit is issued under this subchapter may be operated on a road maintained by a county or a state highway, the financially responsible party shall execute a notification document and agree to reimburse the county or the state, as applicable, for damage to a road or highway sustained as a consequence of the transportation authorized by the permit.  At a minimum, the notification document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financially responsible party;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permit issued for the vehicle or combination of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method of compliance by the financially responsible party with Section 601.051, 623.012, 643.101, or 643.102;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address or location of the geographic area in which the financially responsible party wishes to operate a vehicle or combination of vehicles and a designation of the specific route of travel anticipated by the financially responsible party, including the name or number of each road maintained by a county or state highway;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calendar or schedule of duration that includes the days and hours of operation during which the financially responsible party reasonably anticipates using the county road or state highway identified in Subdivision (4);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list of each vehicle or combination of vehicles by license plate number or other registration information, and a description of the means by which financial responsibility is established for each vehicle or combination of vehicles if each vehicle or combination of vehicles is not covered by a single insurance policy, surety bond, deposit, or other means of financial assurance.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financially responsible party shall electronically file the notification document described by Subsection (b) with the department under rules adopted by the department not later than the second business day before the first business day listed by the financially responsible party under Subsection (b)(5).  The department shall immediately send an electronic copy of the notification document to each county identified in the notification document and the Texas Department of Transportation and an electronic receipt for the notification document to the financially responsible party.  Not later than the first business day listed by the financially responsible party under Subsection (b)(5), a county or the Texas Department of Transportation may inspect a road or highway identified in the notification document.  If an inspection is conducted under this subsection, a county or the Texas Department of Transportation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 the condition of the roads or highways and take photographs of the roads or highways as necessary to establish a baseline for any subsequent assessment of damage sustained by the financially responsible party's use of the roads or highways;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documentation to the financially responsible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inspection has been conducted under Subsection (c), a county or the Texas Department of Transportation, as applicable, shall, not later than the fifth business day after the expiration of the calendar or schedule of duration described by Subsection (b)(5):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inspection described by Subsection (c)(1) to determine any damage sustained by the financially responsible party's use of the roads or highways;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inspection documentation to the financially responsible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or a county required to be notified under this section may assert a claim against any security posted under Section 623.012 or insurance filed under Section 643.103 for damage to a road or highway sustained as a consequence of the transportation authorized by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623.454.</w:t>
      </w:r>
      <w:r>
        <w:rPr>
          <w:u w:val="single"/>
        </w:rPr>
        <w:t xml:space="preserve"> </w:t>
      </w:r>
      <w:r>
        <w:rPr>
          <w:u w:val="single"/>
        </w:rPr>
        <w:t xml:space="preserve"> </w:t>
      </w:r>
      <w:r>
        <w:rPr>
          <w:u w:val="single"/>
        </w:rPr>
        <w:t xml:space="preserve">DISPOSITION OF FEE.  Of the fee collected under Section 623.452 for a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collected shall be deposited to the credit of the state highway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50 percent shall be divided equally among all counties designated in the permit application under Section 623.452(a)(2).</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623.455.</w:t>
      </w:r>
      <w:r>
        <w:rPr>
          <w:u w:val="single"/>
        </w:rPr>
        <w:t xml:space="preserve"> </w:t>
      </w:r>
      <w:r>
        <w:rPr>
          <w:u w:val="single"/>
        </w:rPr>
        <w:t xml:space="preserve"> </w:t>
      </w:r>
      <w:r>
        <w:rPr>
          <w:u w:val="single"/>
        </w:rPr>
        <w:t xml:space="preserve">TIME OF MOVEMENT.  A permit issued under this subchapter must specify the time during which movement authorized by the permit is allowed.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623.456.</w:t>
      </w:r>
      <w:r>
        <w:rPr>
          <w:u w:val="single"/>
        </w:rPr>
        <w:t xml:space="preserve"> </w:t>
      </w:r>
      <w:r>
        <w:rPr>
          <w:u w:val="single"/>
        </w:rPr>
        <w:t xml:space="preserve"> </w:t>
      </w:r>
      <w:r>
        <w:rPr>
          <w:u w:val="single"/>
        </w:rPr>
        <w:t xml:space="preserve">SPEED LIMIT.  Movement authorized by a permit issued under this subchapter may not exceed the posted speed limit or 55 miles per hour, whichever is less.  A violation of this provision constitutes a moving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623.457.</w:t>
      </w:r>
      <w:r>
        <w:rPr>
          <w:u w:val="single"/>
        </w:rPr>
        <w:t xml:space="preserve"> </w:t>
      </w:r>
      <w:r>
        <w:rPr>
          <w:u w:val="single"/>
        </w:rPr>
        <w:t xml:space="preserve"> </w:t>
      </w:r>
      <w:r>
        <w:rPr>
          <w:u w:val="single"/>
        </w:rPr>
        <w:t xml:space="preserve">INTERSTATE AND DEFENSE HIGHWAYS.  (a)  This subchapter does not authorize the operation on the national system of interstate and defense highways in this state of a vehicle of a size or weight greater than those permitted under 23 U.S.C. Section 127.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authorizes the operation on the national system of interstate and defense highways of a vehicle of a size or weight greater than those permitted under 23 U.S.C. Section 127 on September 1, 2023, the new limit automatically takes effect on the national system of interstate and defense highways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