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88R13028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of the death of a person in county jail or in the custody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501.055(b),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 the inmate: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dies of natural causes [</w:t>
      </w:r>
      <w:r>
        <w:rPr>
          <w:strike/>
        </w:rPr>
        <w:t xml:space="preserve">while attended by a physician or a registered nurse</w:t>
      </w:r>
      <w:r>
        <w:t xml:space="preserve">];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lawfully executed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dies in a manner that does not indicate an offense has been committed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511.021(a),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the death of a prisoner in a county jail, </w:t>
      </w:r>
      <w:r>
        <w:rPr>
          <w:u w:val="single"/>
        </w:rPr>
        <w:t xml:space="preserve">other than a death from natural causes or occurring in a manner that does not indicate an offense has been committed,</w:t>
      </w:r>
      <w:r>
        <w:t xml:space="preserve"> the commission shall appoint a law enforcement agency, other than the local law enforcement agency that operates the county jail, to investigate the death as soon as possible.</w:t>
      </w:r>
      <w:r xml:space="preserve">
        <w:t> </w:t>
      </w:r>
      <w:r xml:space="preserve">
        <w:t> </w:t>
      </w:r>
      <w:r>
        <w:t xml:space="preserve">Except as otherwise provided by Subsection (b), the appointed law enforcement agency shall conduct the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