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88R14381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registration of a motor vehicle, trailer, or semitrailer.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502.040(a),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more than 30 days after purchasing a vehicle or becoming a resident of this state, the owner of a motor vehicle, trailer, or semitrailer shall apply for the registration of the vehicle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registration year in which the vehicle is used or to be used on a public highway;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vehicle is unregistered for a registration year that has begun and that applies to the vehicle and if the vehicle is used or to be used on a public highway,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 remaining portion of that</w:t>
      </w:r>
      <w:r>
        <w:t xml:space="preserve">] registration year </w:t>
      </w:r>
      <w:r>
        <w:rPr>
          <w:u w:val="single"/>
        </w:rPr>
        <w:t xml:space="preserve">designated by the department of 12 consecutive months to begin on the day of registration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