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88R6461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temporary restraining order under the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OF TEMPORARY RESTRAINING ORDER.  A court that issues a temporary restraining order under this code shall submit a copy of that temporary restraining order to the office of the attorney general.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