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90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</w:t>
      </w:r>
      <w:r>
        <w:t xml:space="preserve"> </w:t>
      </w:r>
      <w:r>
        <w:t xml:space="preserve">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notify the attorney general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