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2023S0255-1  03/07/23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1910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access to certain election records under the public information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552.103, Government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except from the requirements of Section 552.021 information related to a general, primary, or special election, as those terms are defined by Section 1.005, Election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1910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