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2;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access to certain election records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552.103,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except from the requirements of Section 552.021 information related to a general, primary, or special election, as those terms are defined by Section 1.005,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