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Gutierrez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1913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accreditation of private or independent institutions of higher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61.003(15), Education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(15)</w:t>
      </w:r>
      <w:r xml:space="preserve">
        <w:t> </w:t>
      </w:r>
      <w:r xml:space="preserve">
        <w:t> </w:t>
      </w:r>
      <w:r>
        <w:t xml:space="preserve">"Private or independent institution of higher education" includes only a private or independent college or university that is: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organized under the Texas Non-Profit Corporation Act (Article 1396-1.01 et seq., Vernon's Texas Civil Statutes);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exempt from taxation under Article VIII, Section 2, of the Texas Constitution and Section 501(c)(3) of the Internal Revenue Code of 1986 (26 U.S.C. Section 501);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accredited by: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the Commission on Colleges of the Southern Association of Colleges and Schools;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the Liaison Committee on Medical Education;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the American Bar Association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(iv)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recognized accrediting agency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1913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