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88R11715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of certain durable medical equipment providers participating in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the requirements specified by Subsection (a) and notwithstanding any other law, a contract described by that subsection must require the managed care organization to reimburse a specialty provider of durable medical equipment and related supplies and services who provides the equipment, supplies, or services to a recipient at a rate that is at least equal to 95 percent of the rate paid under the Medicaid fee-for-service fee schedule.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533.005(i),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533.005(i), Government Code, as added by this Act.  To the extent of a conflict between Section 533.005(i),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