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Menéndez</w:t>
      </w:r>
      <w:r xml:space="preserve">
        <w:tab wTab="150" tlc="none" cTlc="0"/>
      </w:r>
      <w:r>
        <w:t xml:space="preserve">S.B.</w:t>
      </w:r>
      <w:r xml:space="preserve">
        <w:t> </w:t>
      </w:r>
      <w:r>
        <w:t xml:space="preserve">No.</w:t>
      </w:r>
      <w:r xml:space="preserve">
        <w:t> </w:t>
      </w:r>
      <w:r>
        <w:t xml:space="preserve">1929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an independent organization certified for the ERCOT power region to require information from and registration by certain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39, Utilities Code, is amended by adding Section 39.166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39.166.</w:t>
      </w:r>
      <w:r>
        <w:rPr>
          <w:u w:val="single"/>
        </w:rPr>
        <w:t xml:space="preserve"> </w:t>
      </w:r>
      <w:r>
        <w:rPr>
          <w:u w:val="single"/>
        </w:rPr>
        <w:t xml:space="preserve"> </w:t>
      </w:r>
      <w:r>
        <w:rPr>
          <w:u w:val="single"/>
        </w:rPr>
        <w:t xml:space="preserve">LARGE, FLEXIBLE ELECTRICAL LOADS.  (a) </w:t>
      </w:r>
      <w:r>
        <w:rPr>
          <w:u w:val="single"/>
        </w:rPr>
        <w:t xml:space="preserve"> </w:t>
      </w:r>
      <w:r>
        <w:rPr>
          <w:u w:val="single"/>
        </w:rPr>
        <w:t xml:space="preserve">The independent organization certified under Section 39.151 for the ERCOT power region may require a person seeking to receive retail electric service for a computing facility that requires a large, flexible electrical load or that the organization anticipates will require a large, flexible electrical load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to the organization any information about the person or the existing or future load of the facility that is reasonably necessary for the purposes described by Section 39.151(a), including telemetry of the facility's real-time electrical load;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register the facility with the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independent organization certified under Section 39.151 for the ERCOT power region may adopt a ramping threshold, a consumption threshold, or other standard for determining whether an electrical load is large and flexible for the purposes of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