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88R28177 JXC-D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1929</w:t>
      </w:r>
    </w:p>
    <w:p w:rsidR="003F3435" w:rsidRDefault="0032493E">
      <w:pPr>
        <w:ind w:firstLine="720"/>
        <w:jc w:val="both"/>
      </w:pPr>
      <w:r>
        <w:t xml:space="preserve">(Dean)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1929: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1929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registration of virtual currency mining facilities in the ERCOT power region that demand a large load of interruptible power.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39, Utilities Code, is amended by adding Section 39.360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39.360.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LARGE FLEXIBLE LOAD REGISTRATION.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"Virtual currency" has the meaning assigned by Section 12.001, Business &amp; Commerce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"Virtual currency mining facility" means a facility that uses electronic equipment to add virtual currency transactions to a distributed ledger.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 require a person operating a virtual currency mining facility who enters into an agreement for retail electric service in the ERCOT power region to register the facility receiving service as a large flexible load under this section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anticipates that the facility will require a total load of more than 75 megawatts before the second anniversary of the date the agreement begins;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load is interruptible.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rules must require a person described by Subsection (b)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register the large flexible load with the commission not later than one business day after the date the agreement begins;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the commission with: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location of the facility;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anticipated demand from the facility for the five-year period beginning on the date of the registration.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criteria for determining whether a load is interruptible for the purposes of this section based on whether it is possible for the facility operator to choose to interrupt the load;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a method to ensure compliance with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share with an independent organization certified under Section 39.151 registration information received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1929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