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1930</w:t>
      </w:r>
    </w:p>
    <w:p w:rsidR="003F3435" w:rsidRDefault="0032493E">
      <w:pPr>
        <w:ind w:firstLine="720"/>
        <w:jc w:val="both"/>
      </w:pPr>
      <w:r>
        <w:t xml:space="preserve">(Dutton, Garcia, Campos, Oliverson, Sherman, Sr.,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children placed by the Department of Family and Protective Services in a residential treatment center or qualified residential treatment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 Family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expressed objectives;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child is or may be placed in a residential treatment center as defined by Section 263.001, a qualified residential treatment program as defined by Section 263.00201, or a similar treatment setting, the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in person with the child before providing a recommendation under Paragraph (C);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to the court by report or testimony a recommendation regarding the placement that is in the best interest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guardian ad litem.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107.004,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child is considered for placement in a residential treatment center as defined by Section 263.001, a qualified residential treatment program as defined by Section 263.00201, or a similar treatment setting, the attorney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meet with the child before any hearing to allow the attorney ad litem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prepare for the hearing in accordance with the child's expressed representation objectives;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advise the child in a developmentally appropriate manner regarding the department's request or recommendation for placement and the likelihood of the request being granted;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advocate to the court for the child's specific desires regarding the requested placement in accordance with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w:t>
      </w:r>
      <w:r>
        <w:rPr>
          <w:u w:val="single"/>
        </w:rPr>
        <w:t xml:space="preserve">a case staffing related to a placement in a residential treatment center or qualified residential treatment program,</w:t>
      </w:r>
      <w:r>
        <w:t xml:space="preserve">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263.001(a), Family Code, is amended by adding Subdivision (3-c)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"Residential treatment center" means a general residential operation licensed under Chapter 42, Human Resources Code, that provides treatment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263.002, Family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child is placed or is referred to and awaiting placement in a residential treatment center, the court shall determine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needs can be met through placement in a family-like setting;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recommended or existing program can provide the most effective and appropriate level of care for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recommended or existing program is the least restrictive setting consistent with the child's best interest and individual needs;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placement is consistent with the short-term and long-term goals for the child, as specified by the child's permanency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making a determination under Subsection (e), the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psychological, or psychiatric assessments;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current treatment plan and progress being made;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significant medical, legal, or behavioral incidents involving the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reasons for the child's discharge from any previous placement or the child's current placement;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programs available at the facility to address the child's needs;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program's plan to discharge the child after treatment;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there are other programs that more effectively meet the child's needs;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that would assist the court in making the determination.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263.202(b), Family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  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reasonable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based on the court's determination under Section 263.002, continued placement is appropriate if the child is placed in a residential treatment center;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based on the court's determination under Section 263.00201, continued placement is appropriate if the child is placed in a qualified residential treatment program</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reasonable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r>
        <w:rPr>
          <w:u w:val="single"/>
        </w:rPr>
        <w:t xml:space="preserv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based on the court's determination under Section 263.00201, whether continued placement is appropriate if the child is placed in a qualified residential treatment program</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264.018(a)(5), Family Code, is amended to read as follows:</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w:t>
      </w:r>
    </w:p>
    <w:p w:rsidR="003F3435" w:rsidRDefault="0032493E">
      <w:pPr>
        <w:spacing w:line="480" w:lineRule="auto"/>
        <w:ind w:firstLine="2160"/>
        <w:jc w:val="both"/>
      </w:pPr>
      <w:r>
        <w:t xml:space="preserve">(E)</w:t>
      </w:r>
      <w:r xml:space="preserve">
        <w:t> </w:t>
      </w:r>
      <w:r xml:space="preserve">
        <w:t> </w:t>
      </w:r>
      <w:r>
        <w:t xml:space="preserve">a placement in a qualified residential treatment program as that term is defined by 42 U.S.C. Section 672(k)(4) </w:t>
      </w:r>
      <w:r>
        <w:rPr>
          <w:u w:val="single"/>
        </w:rPr>
        <w:t xml:space="preserve">or placement in a residential treatment center as defined by Section 263.001, including meetings or conferences to determine the appropriateness of such a placement</w:t>
      </w:r>
      <w:r>
        <w:t xml:space="preserve">; or</w:t>
      </w:r>
    </w:p>
    <w:p w:rsidR="003F3435" w:rsidRDefault="0032493E">
      <w:pPr>
        <w:spacing w:line="480" w:lineRule="auto"/>
        <w:ind w:firstLine="2160"/>
        <w:jc w:val="both"/>
      </w:pPr>
      <w: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