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1930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Health &amp; Human Services; May</w:t>
      </w:r>
      <w:r xml:space="preserve">
        <w:t> </w:t>
      </w:r>
      <w:r>
        <w:t xml:space="preserve">8,</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1930</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policies and procedures regarding children placed by the Department of Family and Protective Services in a residential treatment center or qualified residential treatment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 Family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expressed objectives;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child is or may be placed in a residential treatment center as defined by Section 263.001, a qualified residential treatment program as defined by Section 263.00201, or a similar treatment setting, the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in person with the child before providing a recommendation under Paragraph (C);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to the court by report or testimony a recommendation regarding the placement that is in the best interest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guardian ad litem.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107.004,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child is considered for placement in a residential treatment center as defined by Section 263.001, a qualified residential treatment program as defined by Section 263.00201, or a similar treatment setting, the attorney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meet with the child before any hearing to allow the attorney ad litem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prepare for the hearing in accordance with the child's expressed representation objectives;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advise the child in a developmentally appropriate manner regarding the department's request or recommendation for placement and the likelihood of the request being granted;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advocate to the court for the child's specific desires regarding the requested placement in accordance with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107.0131(a),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w:t>
      </w:r>
      <w:r>
        <w:rPr>
          <w:u w:val="single"/>
        </w:rPr>
        <w:t xml:space="preserve">a case staffing related to a placement in a residential treatment center or qualified residential treatment program,</w:t>
      </w:r>
      <w:r>
        <w:t xml:space="preserve">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263.001(a), Family Code, is amended by adding Subdivision (3-c)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"Residential treatment center" means a general residential operation licensed under Chapter 42, Human Resources Code, that provides treatment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263.002, Family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child is placed or is referred to and awaiting placement in a residential treatment center, the court shall determine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needs can be met through placement in a family-like setting;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recommended or existing program can provide the most effective and appropriate level of care for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recommended or existing program is the least restrictive setting consistent with the child's best interest and individual needs;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placement is consistent with the short-term and long-term goals for the child, as specified by the child's permanency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making a determination under Subsection (e), the court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psychological, or psychiatric assessments;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current treatment plan and progress being made;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significant medical, legal, or behavioral incidents involving the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reasons for the child's discharge from any previous placement or the child's current placement;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programs available at the facility to address the child's needs;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program's plan to discharge the child after treatment;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there are other programs that more effectively meet the child's needs;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that would assist the court in making the determination.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263.202(b), Family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  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reasonable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based on the court's determination under Section 263.002, continued placement is appropriate if the child is placed in a residential treatment center;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based on the court's determination under Section 263.00201, continued placement is appropriate if the child is placed in a qualified residential treatment program</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263.306(a-1), Family Code, is amended to read as follows:</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102.009;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reasonable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based on the court's determination under Section 263.00201,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263.5031(a), Family Code, is amended to read as follows:</w:t>
      </w:r>
    </w:p>
    <w:p w:rsidR="003F3435" w:rsidRDefault="0032493E">
      <w:pPr>
        <w:spacing w:line="480" w:lineRule="auto"/>
        <w:ind w:firstLine="720"/>
        <w:jc w:val="both"/>
      </w:pPr>
      <w:r>
        <w:t xml:space="preserve">(a)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K, Chapter 264;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reasonable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r>
        <w:rPr>
          <w:u w:val="single"/>
        </w:rPr>
        <w:t xml:space="preserv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based on the court's determination under Section 263.002, whether continued placement is appropriate if the child is placed in a residential treatment center;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based on the court's determination under Section 263.00201, whether continued placement is appropriate if the child is placed in a qualified residential treatment program</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264.018(a)(5), Family Code, is amended to read as follows:</w:t>
      </w:r>
    </w:p>
    <w:p w:rsidR="003F3435" w:rsidRDefault="0032493E">
      <w:pPr>
        <w:spacing w:line="480" w:lineRule="auto"/>
        <w:ind w:firstLine="1440"/>
        <w:jc w:val="both"/>
      </w:pPr>
      <w:r>
        <w:t xml:space="preserve">(5)</w:t>
      </w:r>
      <w:r xml:space="preserve">
        <w:t> </w:t>
      </w:r>
      <w:r xml:space="preserve">
        <w:t> </w:t>
      </w:r>
      <w:r>
        <w:t xml:space="preserve">"Significant event" means:</w:t>
      </w:r>
    </w:p>
    <w:p w:rsidR="003F3435" w:rsidRDefault="0032493E">
      <w:pPr>
        <w:spacing w:line="480" w:lineRule="auto"/>
        <w:ind w:firstLine="2160"/>
        <w:jc w:val="both"/>
      </w:pPr>
      <w:r>
        <w:t xml:space="preserve">(A)</w:t>
      </w:r>
      <w:r xml:space="preserve">
        <w:t> </w:t>
      </w:r>
      <w:r xml:space="preserve">
        <w:t> </w:t>
      </w:r>
      <w:r>
        <w:t xml:space="preserve">a placement change, including failure by the department to locate an appropriate placement for at least one night;</w:t>
      </w:r>
    </w:p>
    <w:p w:rsidR="003F3435" w:rsidRDefault="0032493E">
      <w:pPr>
        <w:spacing w:line="480" w:lineRule="auto"/>
        <w:ind w:firstLine="2160"/>
        <w:jc w:val="both"/>
      </w:pPr>
      <w:r>
        <w:t xml:space="preserve">(B)</w:t>
      </w:r>
      <w:r xml:space="preserve">
        <w:t> </w:t>
      </w:r>
      <w:r xml:space="preserve">
        <w:t> </w:t>
      </w:r>
      <w:r>
        <w:t xml:space="preserve">a significant change in medical condition;</w:t>
      </w:r>
    </w:p>
    <w:p w:rsidR="003F3435" w:rsidRDefault="0032493E">
      <w:pPr>
        <w:spacing w:line="480" w:lineRule="auto"/>
        <w:ind w:firstLine="2160"/>
        <w:jc w:val="both"/>
      </w:pPr>
      <w:r>
        <w:t xml:space="preserve">(C)</w:t>
      </w:r>
      <w:r xml:space="preserve">
        <w:t> </w:t>
      </w:r>
      <w:r xml:space="preserve">
        <w:t> </w:t>
      </w:r>
      <w:r>
        <w:t xml:space="preserve">an initial prescription of a psychotropic medication or a change in dosage of a psychotropic medication;</w:t>
      </w:r>
    </w:p>
    <w:p w:rsidR="003F3435" w:rsidRDefault="0032493E">
      <w:pPr>
        <w:spacing w:line="480" w:lineRule="auto"/>
        <w:ind w:firstLine="2160"/>
        <w:jc w:val="both"/>
      </w:pPr>
      <w:r>
        <w:t xml:space="preserve">(D)</w:t>
      </w:r>
      <w:r xml:space="preserve">
        <w:t> </w:t>
      </w:r>
      <w:r xml:space="preserve">
        <w:t> </w:t>
      </w:r>
      <w:r>
        <w:t xml:space="preserve">a major change in school performance or a serious disciplinary event at school;</w:t>
      </w:r>
    </w:p>
    <w:p w:rsidR="003F3435" w:rsidRDefault="0032493E">
      <w:pPr>
        <w:spacing w:line="480" w:lineRule="auto"/>
        <w:ind w:firstLine="2160"/>
        <w:jc w:val="both"/>
      </w:pPr>
      <w:r>
        <w:t xml:space="preserve">(E)</w:t>
      </w:r>
      <w:r xml:space="preserve">
        <w:t> </w:t>
      </w:r>
      <w:r xml:space="preserve">
        <w:t> </w:t>
      </w:r>
      <w:r>
        <w:t xml:space="preserve">a placement in a qualified residential treatment program as that term is defined by 42 U.S.C. Section 672(k)(4) </w:t>
      </w:r>
      <w:r>
        <w:rPr>
          <w:u w:val="single"/>
        </w:rPr>
        <w:t xml:space="preserve">or placement in a residential treatment center as defined by Section 263.001, including meetings or conferences to determine the appropriateness of such a placement</w:t>
      </w:r>
      <w:r>
        <w:t xml:space="preserve">; or</w:t>
      </w:r>
    </w:p>
    <w:p w:rsidR="003F3435" w:rsidRDefault="0032493E">
      <w:pPr>
        <w:spacing w:line="480" w:lineRule="auto"/>
        <w:ind w:firstLine="2160"/>
        <w:jc w:val="both"/>
      </w:pPr>
      <w:r>
        <w:t xml:space="preserve">(F)</w:t>
      </w:r>
      <w:r xml:space="preserve">
        <w:t> </w:t>
      </w:r>
      <w:r xml:space="preserve">
        <w:t> </w:t>
      </w:r>
      <w:r>
        <w:t xml:space="preserve">any event determined to be significant under department rule.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