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1931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complaint filed with and sanctions issued by the State Commission on Judicial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w:t>
      </w:r>
      <w:r xml:space="preserve">
        <w:t> </w:t>
      </w:r>
      <w:r xml:space="preserve">
        <w:t>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 investigation, and the commission staff's recommendations for commission action regarding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48 hours after the commission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notice of the action to be taken published on the commission's Internet website not more than 72 hours after the commission meeting.</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w:t>
      </w:r>
      <w:r xml:space="preserve">
        <w:rPr>
          <w:strike/>
        </w:rPr>
        <w:t> </w:t>
      </w:r>
      <w:r xml:space="preserve">
        <w:rPr>
          <w:strike/>
        </w:rPr>
        <w:t>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w:t>
      </w:r>
      <w:r xml:space="preserve">
        <w:t>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w:t>
      </w:r>
      <w:r xml:space="preserve">
        <w:t> </w:t>
      </w:r>
      <w:r xml:space="preserve">
        <w:t> </w:t>
      </w:r>
      <w:r>
        <w:t xml:space="preserve">The commission may not disclose to the legislature any confidential information regarding the complaint.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33.034(a),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w:t>
      </w:r>
      <w:r>
        <w:rPr>
          <w:u w:val="single"/>
        </w:rPr>
        <w:t xml:space="preserve">public</w:t>
      </w:r>
      <w:r>
        <w:t xml:space="preserve"> sanction or censure issued by the commission under Section 1-a(8), Article V, Texas Constitution, or any other type of </w:t>
      </w:r>
      <w:r>
        <w:rPr>
          <w:u w:val="single"/>
        </w:rPr>
        <w:t xml:space="preserve">public</w:t>
      </w:r>
      <w:r>
        <w:t xml:space="preserve"> sanction</w:t>
      </w:r>
      <w:r>
        <w:rPr>
          <w:u w:val="single"/>
        </w:rPr>
        <w:t xml:space="preserve">, including a public admonition or warning,</w:t>
      </w:r>
      <w:r>
        <w:t xml:space="preserve"> is entitled to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PENDING APPEAL </w:t>
      </w:r>
      <w:r>
        <w:rPr>
          <w:u w:val="single"/>
        </w:rPr>
        <w:t xml:space="preserve">OR FORMAL PROCEEDINGS</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initiated formal proceedings against a judge, 10 days after the appointment of a special master, the commission shall suspend the judge from office without pay pending final disposition of the formal proceedings unless the special master determines the suspension is not warranted.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33.041, Government Code, is amended to read as follows:</w:t>
      </w:r>
    </w:p>
    <w:p w:rsidR="003F3435" w:rsidRDefault="0032493E">
      <w:pPr>
        <w:spacing w:line="480" w:lineRule="auto"/>
        <w:ind w:firstLine="720"/>
        <w:jc w:val="both"/>
      </w:pPr>
      <w:r>
        <w:t xml:space="preserve">Sec.</w:t>
      </w:r>
      <w:r xml:space="preserve">
        <w:t> </w:t>
      </w:r>
      <w:r>
        <w:t xml:space="preserve">33.041.</w:t>
      </w:r>
      <w:r xml:space="preserve">
        <w:t> </w:t>
      </w:r>
      <w:r xml:space="preserve">
        <w:t> </w:t>
      </w:r>
      <w:r>
        <w:t xml:space="preserve">LEGISLATIVE REPORT.</w:t>
      </w:r>
      <w:r xml:space="preserve">
        <w:t> </w:t>
      </w:r>
      <w:r xml:space="preserve">
        <w:t> </w:t>
      </w:r>
      <w:r>
        <w:t xml:space="preserve">(a)</w:t>
      </w:r>
      <w:r xml:space="preserve">
        <w:t> </w:t>
      </w:r>
      <w:r xml:space="preserve">
        <w:t> </w:t>
      </w:r>
      <w:r>
        <w:t xml:space="preserve">The commission shall prepare a report for the </w:t>
      </w:r>
      <w:r>
        <w:rPr>
          <w:u w:val="single"/>
        </w:rPr>
        <w:t xml:space="preserve">89th</w:t>
      </w:r>
      <w:r>
        <w:t xml:space="preserve"> [</w:t>
      </w:r>
      <w:r>
        <w:rPr>
          <w:strike/>
        </w:rPr>
        <w:t xml:space="preserve">88th</w:t>
      </w:r>
      <w:r>
        <w:t xml:space="preserve">] Legislature regarding any statutory changes that would </w:t>
      </w:r>
      <w:r>
        <w:rPr>
          <w:u w:val="single"/>
        </w:rPr>
        <w:t xml:space="preserve">further</w:t>
      </w:r>
      <w:r>
        <w:t xml:space="preserve"> improve the commission's effectiveness, efficiency, and transparency in filing, investigating, and processing any complaint filed with the commission.</w:t>
      </w:r>
    </w:p>
    <w:p w:rsidR="003F3435" w:rsidRDefault="0032493E">
      <w:pPr>
        <w:spacing w:line="480" w:lineRule="auto"/>
        <w:ind w:firstLine="720"/>
        <w:jc w:val="both"/>
      </w:pPr>
      <w:r>
        <w:t xml:space="preserve">(b)</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publicly reprimanded or censured by the State Commission on Judicial Conduct;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publicly reprimanded, sanctioned, or censured, or any combination of those punishments, more than once, unless the reprimand, sanction, or censure has been reviewed and rescinded by a special court of review under Section 33.034;</w:t>
      </w:r>
      <w:r>
        <w:t xml:space="preserve">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33.0212, Government Code, as amended by this Act, applies only to a complaint filed with the State Commission on Judicial Conduct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33.037, Government Code, as amended by this Act, applies only to a special master appointed to hear a formal proceeding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