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88R10142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1935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counties to cooperate with the secretary of state in randomized election audits;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127.351(c), Election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Section 127.352, a</w:t>
      </w:r>
      <w:r>
        <w:t xml:space="preserve"> [</w:t>
      </w:r>
      <w:r>
        <w:rPr>
          <w:strike/>
        </w:rPr>
        <w:t xml:space="preserve">A</w:t>
      </w:r>
      <w:r>
        <w:t xml:space="preserve">] county selected to be audited may not </w:t>
      </w:r>
      <w:r>
        <w:rPr>
          <w:u w:val="single"/>
        </w:rPr>
        <w:t xml:space="preserve">be required to</w:t>
      </w:r>
      <w:r>
        <w:t xml:space="preserve"> pay the cost of performing an audit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J, Chapter 127, Election Code, is amended by adding Section 127.352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127.352.</w:t>
      </w:r>
      <w:r>
        <w:rPr>
          <w:u w:val="single"/>
        </w:rPr>
        <w:t xml:space="preserve"> </w:t>
      </w:r>
      <w:r>
        <w:rPr>
          <w:u w:val="single"/>
        </w:rPr>
        <w:t xml:space="preserve"> </w:t>
      </w:r>
      <w:r>
        <w:rPr>
          <w:u w:val="single"/>
        </w:rPr>
        <w:t xml:space="preserve">COOPERATION BY COUNTY.  (a) The secretary of state may request that a county selected under Section 127.351 provide to the secretary of state as necessary to complete an audit under this subchapter: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records or other documents in the possession of the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assistance of county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selected under Section 127.351 shall comply with a request made under Subsection (a) not later than the 14th day after the request is made.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may assess an administrative penalty of not more than $500 per day for each day following the 14th day after a request under Subsection (a) is made that the county fails or refuses to comply with the request.</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audit initiated under Subchapter J, Chapter 127, Election Code, as amended by this Act, on or after the effective date of this Act. An audit initiated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