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88R6291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action by the early voting clerk on receipt of a ballot voted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86.011(b),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return is timely, the clerk shall </w:t>
      </w:r>
      <w:r>
        <w:rPr>
          <w:u w:val="single"/>
        </w:rPr>
        <w:t xml:space="preserve">enter the time and date of receipt on the carrier envelope and</w:t>
      </w:r>
      <w:r>
        <w:t xml:space="preserve"> enclose the carrier envelope and the voter's early voting ballot application in a jacket envelope. </w:t>
      </w:r>
      <w:r>
        <w:t xml:space="preserve"> </w:t>
      </w:r>
      <w:r>
        <w:t xml:space="preserve">The clerk shall also include in the jacket envelope: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copy of the voter's federal postcard application if the ballot is voted under Chapter 101;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signature cover sheet, if the ballot is voted under Chapter 105.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