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88R10660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1949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residence address of an applicant for purposes of voter registration.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13.002(c),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registration application must include: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applicant's first name, middle name, if any, last name, and former name, if any;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month, day, and year of the applicant's birth;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statement that the applicant is a United States citizen;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statement that the applicant is a resident of the county;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statement that the applicant has not been determined by a final judgment of a court exercising probate jurisdiction to be: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totally mentally incapacitated;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partially mentally incapacitated without the right to vote;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statement that the applicant has not been finally convicted of a felony or that the applicant is a felon eligible for registration under Section 13.001;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the applicant's residence address or, if the residence has no address</w:t>
      </w:r>
      <w:r>
        <w:rPr>
          <w:u w:val="single"/>
        </w:rPr>
        <w:t xml:space="preserve">:</w:t>
      </w:r>
      <w:r>
        <w:t xml:space="preserve">[</w:t>
      </w:r>
      <w:r>
        <w:rPr>
          <w:strike/>
        </w:rPr>
        <w:t xml:space="preserve">,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the address at which the applicant receives mail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and</w:t>
      </w:r>
      <w:r>
        <w:t xml:space="preserve">] a concise description of the location of the applicant's residence;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statement that the applicant's residence has no address;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the following information: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applicant's Texas driver's license number or the number of a personal identification card issued by the Department of Public Safety;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the applicant has not been issued a number described by Paragraph (A), the last four digits of the applicant's social security number;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statement by the applicant that the applicant has not been issued a number described by Paragraph (A) or (B);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if the application is made by an agent, a statement of the agent's relationship to the applicant;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the city and county in which the applicant formerly resided.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1949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