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1953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centers of excellence program developed by the Texas Judicial Council and a merit payment for certain justices and judges.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71, Government Code, is amended by adding Section 71.040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71.040.</w:t>
      </w:r>
      <w:r>
        <w:rPr>
          <w:u w:val="single"/>
        </w:rPr>
        <w:t xml:space="preserve"> </w:t>
      </w:r>
      <w:r>
        <w:rPr>
          <w:u w:val="single"/>
        </w:rPr>
        <w:t xml:space="preserve"> </w:t>
      </w:r>
      <w:r>
        <w:rPr>
          <w:u w:val="single"/>
        </w:rPr>
        <w:t xml:space="preserve">CENTERS OF EXCELLENCE.  (a)  The council by rule shall develop a centers of excellence program to identify, support, and recognize justices and judges who excel in serving their communities and in representing the judiciary.  In awarding a center of excellence recognition to a justice or judge, the council must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justice's or judge's governance, access, fairness, case flow management, and court operations;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compliance of the justice's or judge's court with statutory or procedural requirements for judicial reporting, court security, fee collection, indigent defense, and guardianship fraud and abuse prevention.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justice or judge of an appellate court, district court, statutory county court, or county court is eligible for recognition as a center of excellence and may apply for recognition on a form and in the manner prescribed by the council.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addition to the annual salary paid to a justice or judge under Section 659.012, or by the commissioners court of a county or the governing body of a municipality under any other law, a justice or judge recognized as a center for excellence under the centers of excellence program is entitled to receive in each state fiscal year in which the justice or judge is recognized one merit payment in an amount equal to five percent of the justice's or judge's annual base salary for that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justice or judge recognized under a centers of excellence program developed by the Texas Judicial Council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