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2023S0201-1  02/22/23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1967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compensation and leave for certain employees of the office of inspector general of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w:t>
      </w:r>
      <w:r>
        <w:rPr>
          <w:strike/>
        </w:rPr>
        <w:t xml:space="preserve">or</w:t>
      </w:r>
      <w:r>
        <w:t xml:space="preserve">] the insurance fraud unit of the Texas Department of Insurance</w:t>
      </w:r>
      <w:r>
        <w:rPr>
          <w:u w:val="single"/>
        </w:rPr>
        <w:t xml:space="preserve">, or the office of inspector general of the Texas Juvenile Justice Department</w:t>
      </w:r>
      <w:r>
        <w:t xml:space="preserv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inspector general of the Texas Juvenile Justice Department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242.102, Human Resources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ensure that a peace officer commissioned under Subsection (d)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classification officer in the office of the state auditor shall classify the position of commissioned peace officer employed by the office of inspector general of the Texas Juvenile Justice Department as a Schedule C position under the Texas Position Classification Plan.</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