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88R14453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1968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reporting of certain discretionary prosecutorial decisions of prosecuting attorneys.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41, Government Code, is amended by adding Section 41.0065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41.0065.</w:t>
      </w:r>
      <w:r>
        <w:rPr>
          <w:u w:val="single"/>
        </w:rPr>
        <w:t xml:space="preserve"> </w:t>
      </w:r>
      <w:r>
        <w:rPr>
          <w:u w:val="single"/>
        </w:rPr>
        <w:t xml:space="preserve"> </w:t>
      </w:r>
      <w:r>
        <w:rPr>
          <w:u w:val="single"/>
        </w:rPr>
        <w:t xml:space="preserve">REPORT TO ATTORNEY GENERAL REGARDING REFUSAL TO PROSECUTE.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"Peace officer" means an individual described by Article 2.12, Code of Criminal Procedure.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"Prosecuting attorney" has the meaning assigned by Section 41.101.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after being presented with an affidavit sworn to by a peace officer alleging that probable cause exists to believe a person committed a criminal offense under Title 5 or 6, Penal Code, or under Chapter 29, Penal Code, a prosecuting attorney refuses to prosecute the alleged criminal offense, the prosecuting  attorney must submit a report to the attorney general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information the prosecuting attorney has regarding the alleged criminal offense;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detailed explanation of the prosecuting attorney's decision not to prosecute the alleged offense, including any perceived evidentiary deficiencies in the case;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alleged offender's criminal history.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(d), at least once a month the office of the attorney general shall post on the office's publicly accessible Internet website information regarding each prosecuting attorney's decision not to prosecute an offense described by Subsection (b). </w:t>
      </w:r>
      <w:r>
        <w:rPr>
          <w:u w:val="single"/>
        </w:rPr>
        <w:t xml:space="preserve"> </w:t>
      </w:r>
      <w:r>
        <w:rPr>
          <w:u w:val="single"/>
        </w:rPr>
        <w:t xml:space="preserve">The post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county in which the alleged offense occurred;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type of offense alleged to have been committed;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short statement regarding the prosecuting attorney's rationale for refusing to prosecute the alleged offense.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Information included on the attorney general's Internet website under Subsection (c) may not include any personally identifying information of an alleged offender or victim.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