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88R6611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liability of judges and magistrates for the improper release on personal bond of defendants accused of committing certain felony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5, Civil Practice and Remedies Code, is amended by adding Chapter 108A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108A. </w:t>
      </w:r>
      <w:r>
        <w:rPr>
          <w:u w:val="single"/>
        </w:rPr>
        <w:t xml:space="preserve"> </w:t>
      </w:r>
      <w:r>
        <w:rPr>
          <w:u w:val="single"/>
        </w:rPr>
        <w:t xml:space="preserve">PUBLIC SERVANT LIABILITY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108A.001.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JUDGE OR MAGISTRATE FOR IMPROPER RELEASE.  (a)  A victim of an offense that was committed by a person while the person was released on personal bond, or the victim's estate if the victim is deceased, may bring a cause of action against the judge or magistrate who released the person on personal bond for damages incurred as a result of the offense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offense for which the person was released on personal bond is an offense involving violence, as defined by Article 17.03,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or magistrate released the defendant on personal bond in violation of Article 17.03(b-2),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damages awarded in an action brought under this section may not exceed $10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judge or magistrate may not assert judicial immunity or other forms of immunity as a defense to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108.002 does not apply to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108A.001, Civil Practice and Remedies Code, as added by this Act, applies only with respect to the release of a person on personal bond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