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1973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21,</w:t>
      </w:r>
      <w:r xml:space="preserve">
        <w:t> </w:t>
      </w:r>
      <w:r>
        <w:t xml:space="preserve">2023, read first time and referred to Committee on Criminal Justice; April</w:t>
      </w:r>
      <w:r xml:space="preserve">
        <w:t> </w:t>
      </w:r>
      <w:r>
        <w:t xml:space="preserve">12,</w:t>
      </w:r>
      <w:r xml:space="preserve">
        <w:t> </w:t>
      </w:r>
      <w:r>
        <w:t xml:space="preserve">2023, reported favorably by the following vote:</w:t>
      </w:r>
      <w:r>
        <w:t xml:space="preserve"> </w:t>
      </w:r>
      <w:r>
        <w:t xml:space="preserve"> </w:t>
      </w:r>
      <w:r>
        <w:t xml:space="preserve">Yeas 7,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criminal history record information for certain special master, magistrate, referee, or other court official applicants appointed or employed by state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 Government Code, is amended by adding Subchapter A to read as follows: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CRIMINAL HISTORY RECORD INFORMATION REQUIREMENTS FOR CERTAIN APPLICANTS.  (a) This section applies to an applicant seeking appointment or employment under this chapter in a court of this state as a special master, magistrate, referee, or other court official who assesses or determines the eligibility or amount of bail for a criminal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require an applicant for a position described by Subsection (a)</w:t>
      </w:r>
      <w:r>
        <w:rPr>
          <w:u w:val="single"/>
        </w:rPr>
        <w:t xml:space="preserve"> </w:t>
      </w:r>
      <w:r>
        <w:rPr>
          <w:u w:val="single"/>
        </w:rPr>
        <w:t xml:space="preserve">to submit a complete and legible set of fingerprints, on a form prescribed by the Office of Court Administration of the Texas Judicial System, to the court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appoint or employ an applicant for a position described by Subsection (a) unless the court conducts a criminal history record check of the applicant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applicant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court by the Department of Public Safety, the Federal Bureau of Investigation, and any other criminal justice agency under Subchapter F, Chapter 411.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criminal history record checks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in conducting the criminal history record check.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 411.14085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411.14085.</w:t>
      </w:r>
      <w:r>
        <w:rPr>
          <w:u w:val="single"/>
        </w:rPr>
        <w:t xml:space="preserve"> </w:t>
      </w:r>
      <w:r>
        <w:rPr>
          <w:u w:val="single"/>
        </w:rPr>
        <w:t xml:space="preserve"> </w:t>
      </w:r>
      <w:r>
        <w:rPr>
          <w:u w:val="single"/>
        </w:rPr>
        <w:t xml:space="preserve">ACCESS TO CRIMINAL HISTORY RECORD INFORMATION: COURTS WITH CRIMINAL JURISDICTION.  (a)  A district court, constitutional county court, statutory county court, justice court, or municipal court with jurisdiction over criminal cases is entitled to obtain from the department as authorized under Section 54.001 criminal history record information maintained by the department that relates to an applicant for appointment or employment as a special master, magistrate, referee, or other court official who assesses or determines the eligibility or amount of bail for a criminal defendant for that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by the court under Subsection (a) may be used only to evaluate an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not release or disclose information obtained under Subsection (a) except with the consent of the person who is the subject of the criminal history record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expiration of any probationary term of the person's appointment or employment, the court shall destroy all criminal history record information obtained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