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annual study by the Texas A&amp;M University Texas Real Estate Research Center of the purchase and sale of single-family homes by certain institutional buyers.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86, Education Code, is amended by adding Section 86.531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86.531.</w:t>
      </w:r>
      <w:r>
        <w:rPr>
          <w:u w:val="single"/>
        </w:rPr>
        <w:t xml:space="preserve"> </w:t>
      </w:r>
      <w:r>
        <w:rPr>
          <w:u w:val="single"/>
        </w:rPr>
        <w:t xml:space="preserve"> </w:t>
      </w:r>
      <w:r>
        <w:rPr>
          <w:u w:val="single"/>
        </w:rPr>
        <w:t xml:space="preserve">ANNUAL STUDY AND REPORT ON SINGLE-FAMILY HOME PURCHASES AND SALES BY CERTAIN INSTITUTIONAL BUYERS.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"institutional buyer" means a corporation, limited or general partnership, limited liability company, business trust, investment asset manager, real estate investment trust, joint venture, joint stock company, or bank that purchases or acquires for consideration 10 or more single-family homes in this state in a calendar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existing available data and deed records, the center shall annually compile information related to institutional buyers' purchases and sales of single-family homes in this state for the calendar year. </w:t>
      </w:r>
      <w:r>
        <w:rPr>
          <w:u w:val="single"/>
        </w:rPr>
        <w:t xml:space="preserve"> </w:t>
      </w:r>
      <w:r>
        <w:rPr>
          <w:u w:val="single"/>
        </w:rPr>
        <w:t xml:space="preserve">The information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single-family homes purchased by each institutional buyer in the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the single-family homes described by Subdivision (1), the number acquired through foreclosure;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single-family homes described by Subdivision (1), the number sold by each institutional buyer during the same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 the single-family homes described by Subdivision (1), the number used as rental properties during the same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city and county where each single-family home described by Subdivision (1) is located and the number of homes purchased in each city or county;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appraised value of each single-family home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information required by Subsection (b), the center may compile additional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recommendation of the legislature;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center determines is relevant based on market trends.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June 1 of each year, the center shall submit a report to the lieutenant governor, the speaker of the house of representatives, and each member of the legislature. The report must contain: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information compiled under Subsection (b) for the preceding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any trends or patterns relating to the relative number of purchases by institutional buyers, including whether the institutional buyers fall into any readily observable groups based on number of purchases or other appropriate criteria;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of institutional buyers on the cost of housing;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advantages, if any, that institutional buyers have over individual buyers in the real estate market.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completing the initial report under this section, the center may compile information from any calendar years preceding 2023 to create and submit reports for those years that include the information listed in Subsections (b) and (d).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A&amp;M University Texas Real Estate Research Center shall take any actions necessary to prepare to implement Section 86.531, Education Code, as added by this Act, and submit the initial report required under Section 86.531(d), Education Code, as added by this Act, not later than June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1979 passed the Senate on May</w:t>
      </w:r>
      <w:r xml:space="preserve">
        <w:t> </w:t>
      </w:r>
      <w:r>
        <w:t xml:space="preserve">3,</w:t>
      </w:r>
      <w:r xml:space="preserve">
        <w:t> </w:t>
      </w:r>
      <w:r>
        <w:t xml:space="preserve">2023, by the following vote:  Yeas</w:t>
      </w:r>
      <w:r xml:space="preserve">
        <w:t> </w:t>
      </w:r>
      <w:r>
        <w:t xml:space="preserve">29, Nays</w:t>
      </w:r>
      <w:r xml:space="preserve">
        <w:t> </w:t>
      </w:r>
      <w:r>
        <w:t xml:space="preserve">2; and that the Senate concurred in House amendment on May</w:t>
      </w:r>
      <w:r xml:space="preserve">
        <w:t> </w:t>
      </w:r>
      <w:r>
        <w:t xml:space="preserve">25,</w:t>
      </w:r>
      <w:r xml:space="preserve">
        <w:t> </w:t>
      </w:r>
      <w:r>
        <w:t xml:space="preserve">2023, by the following vote:  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1979 passed the House, with amendment, on May</w:t>
      </w:r>
      <w:r xml:space="preserve">
        <w:t> </w:t>
      </w:r>
      <w:r>
        <w:t xml:space="preserve">22,</w:t>
      </w:r>
      <w:r xml:space="preserve">
        <w:t> </w:t>
      </w:r>
      <w:r>
        <w:t xml:space="preserve">2023, by the following vote:  Yeas</w:t>
      </w:r>
      <w:r xml:space="preserve">
        <w:t> </w:t>
      </w:r>
      <w:r>
        <w:t xml:space="preserve">142, Nays</w:t>
      </w:r>
      <w:r xml:space="preserve">
        <w:t> </w:t>
      </w:r>
      <w:r>
        <w:t xml:space="preserve">4,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