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1979</w:t>
      </w:r>
    </w:p>
    <w:p w:rsidR="003F3435" w:rsidRDefault="0032493E">
      <w:pPr>
        <w:ind w:firstLine="720"/>
        <w:jc w:val="both"/>
      </w:pPr>
      <w:r>
        <w:t xml:space="preserve">(Harris of Williamson)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study by the Texas A&amp;M University Texas Real Estate Research Center of the purchase and sale of single-family homes by certain institutional buyers.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86, Education Code, is amended by adding Section 86.531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86.531.</w:t>
      </w:r>
      <w:r>
        <w:rPr>
          <w:u w:val="single"/>
        </w:rPr>
        <w:t xml:space="preserve"> </w:t>
      </w:r>
      <w:r>
        <w:rPr>
          <w:u w:val="single"/>
        </w:rPr>
        <w:t xml:space="preserve"> </w:t>
      </w:r>
      <w:r>
        <w:rPr>
          <w:u w:val="single"/>
        </w:rPr>
        <w:t xml:space="preserve">ANNUAL STUDY AND REPORT ON SINGLE-FAMILY HOME PURCHASES AND SALES BY CERTAIN INSTITUTIONAL BUYERS.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"institutional buyer" means a corporation, limited or general partnership, limited liability company, business trust, investment asset manager, real estate investment trust, joint venture, joint stock company, or bank that purchases or acquires for consideration 10 or more single-family homes in this state in a calendar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existing available data and deed records, the center shall annually compile information related to institutional buyers' purchases and sales of single-family homes in this state for the calendar year. </w:t>
      </w:r>
      <w:r>
        <w:rPr>
          <w:u w:val="single"/>
        </w:rPr>
        <w:t xml:space="preserve"> </w:t>
      </w:r>
      <w:r>
        <w:rPr>
          <w:u w:val="single"/>
        </w:rPr>
        <w:t xml:space="preserve">The information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single-family homes purchased by each institutional buyer in the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single-family homes described by Subdivision (1), the number acquired through foreclosure;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single-family homes described by Subdivision (1), the number sold by each institutional buyer during the same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 the single-family homes described by Subdivision (1), the number used as rental properties during the same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city and county where each single-family home described by Subdivision (1) is located and the number of homes purchased in each city or county;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appraised value of each single-family home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information required by Subsection (b), the center may compile additional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recommendation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center determines is relevant based on market trends.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June 1 of each year, the center shall submit a report to the lieutenant governor, the speaker of the house of representatives, and each member of the legislature. The report must contain: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information compiled under Subsection (b) for the preceding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any trends or patterns relating to the relative number of purchases by institutional buyers, including whether the institutional buyers fall into any readily observable groups based on number of purchases or other appropriate criteria.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completing the initial report under this section, the center may compile information from any calendar years preceding 2023 to create and submit reports for those years that include the information listed in Subsections (b) and (d).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A&amp;M University Texas Real Estate Research Center shall take any actions necessary to prepare to implement Section 86.531, Education Code, as added by this Act, and submit the initial report required under Section 86.531(d), Education Code, as added by this Act, not later than June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