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reestablished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established by Chapter 734 (H.B.</w:t>
      </w:r>
      <w:r xml:space="preserve">
        <w:t> </w:t>
      </w:r>
      <w:r>
        <w:t xml:space="preserve">4056), Acts of the 87th Legislature, Regular Session, 2021, is reestablished to continue carrying out the committee's duties. </w:t>
      </w:r>
      <w:r>
        <w:t xml:space="preserve"> </w:t>
      </w:r>
      <w:r>
        <w:t xml:space="preserve">A person who served on the committee established by Chapter 734 may be reappointed to the committee under Subsection (b) of this section by the relevant appointing authority.</w:t>
      </w:r>
    </w:p>
    <w:p w:rsidR="003F3435" w:rsidRDefault="0032493E">
      <w:pPr>
        <w:spacing w:line="480" w:lineRule="auto"/>
        <w:ind w:firstLine="720"/>
        <w:jc w:val="both"/>
      </w:pPr>
      <w:r>
        <w:t xml:space="preserve">(b)</w:t>
      </w:r>
      <w:r xml:space="preserve">
        <w:t> </w:t>
      </w:r>
      <w:r xml:space="preserve">
        <w:t> </w:t>
      </w:r>
      <w:r>
        <w:t xml:space="preserve">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(c)</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(d)</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(e)</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(g)</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(h)</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 </w:t>
      </w:r>
      <w:r>
        <w:t xml:space="preserve"> </w:t>
      </w:r>
      <w:r>
        <w:t xml:space="preserve">The committee shall submit a second report to each member of the legislature not later than September 30, 2026, covering the committee's activities performed after the date the first report is submitted.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1985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1985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2,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