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1986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acquisition or use of certain unmanned aircraft by a governmental entity.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423, Government Code, is amended to read as follows:</w:t>
      </w:r>
    </w:p>
    <w:p w:rsidR="003F3435" w:rsidRDefault="0032493E">
      <w:pPr>
        <w:spacing w:line="480" w:lineRule="auto"/>
        <w:jc w:val="center"/>
      </w:pPr>
      <w:r>
        <w:t xml:space="preserve">CHAPTER 423. [</w:t>
      </w:r>
      <w:r>
        <w:rPr>
          <w:strike/>
        </w:rPr>
        <w:t xml:space="preserve">USE OF</w:t>
      </w:r>
      <w:r>
        <w:t xml:space="preserve">] UNMANNED AIRCRAFT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423, Government Code, is amended by adding Section 423.010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423.010.</w:t>
      </w:r>
      <w:r>
        <w:rPr>
          <w:u w:val="single"/>
        </w:rPr>
        <w:t xml:space="preserve"> </w:t>
      </w:r>
      <w:r>
        <w:rPr>
          <w:u w:val="single"/>
        </w:rPr>
        <w:t xml:space="preserve"> </w:t>
      </w:r>
      <w:r>
        <w:rPr>
          <w:u w:val="single"/>
        </w:rPr>
        <w:t xml:space="preserve">ACQUISITION OR USE OF CERTAIN FOREIGN UNMANNED AIRCRAFT BY GOVERNMENTAL ENTITY PROHIBITED.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this state, a political subdivision of this state, or an agency of this state or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governmental entity may not acquire or use an unmanned aircraft or any related services or equipment produced by a company that the governmental entity knows or has reason to believe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by or the majority of stock or other ownership interest of the company is held or controlled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government of China, Iran, North Korea, Russia, or Syria;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company or other entity, including a government entity, that is owned or controlled by the government of China, Iran, North Korea, Russia, or Syria;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headquartered in China, Iran, North Korea, Russia, or Syria.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described by Subsection (b) applies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company's or its parent company's securities are publicly traded;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or its parent company is listed on a public stock exchange as a Chinese, Iranian, North Korean, Russian, or Syrian company.</w:t>
      </w:r>
    </w:p>
    <w:p w:rsidR="003F3435" w:rsidRDefault="0032493E">
      <w:pPr>
        <w:spacing w:line="480" w:lineRule="auto"/>
        <w:ind w:firstLine="720"/>
        <w:jc w:val="both"/>
      </w:pPr>
      <w:r>
        <w:rPr>
          <w:u w:val="single"/>
        </w:rPr>
        <w:t xml:space="preserve">(d) The Department of Information Resources shall include companies described by Subsection (b) and Subsection (c) in the Model Security Plan for Prohibited Technologies and make the plan available to governmental entities.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Model Security Plan for Prohibited Technologies described in Subsection (d) shall include, without limitation, companies listed in Section 889 of the federal National Defense Authorization Act.</w:t>
      </w:r>
      <w:r>
        <w:t xml:space="preserve"> </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Model Security Plan for Prohibited Technologies described in Subsection (d) shall include companies who are excluded by future Acts of Congress, or federal administrative rulemaking.</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The Model Security Plan for Prohibited Technologies described in Subsection (d) shall include any other companies The Department of Information Resources deems unsuitable for use by a public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423.010, Government Code, as added by this Act:</w:t>
      </w:r>
    </w:p>
    <w:p w:rsidR="003F3435" w:rsidRDefault="0032493E">
      <w:pPr>
        <w:spacing w:line="480" w:lineRule="auto"/>
        <w:ind w:firstLine="1440"/>
        <w:jc w:val="both"/>
      </w:pPr>
      <w:r>
        <w:t xml:space="preserve">(1)</w:t>
      </w:r>
      <w:r xml:space="preserve">
        <w:t> </w:t>
      </w:r>
      <w:r xml:space="preserve">
        <w:t> </w:t>
      </w:r>
      <w:r>
        <w:t xml:space="preserve">applies to the acquisition of unmanned aircraft or any related services or equipment on or after the effective date of this Act, except that a contract or agreement to purchase or otherwise acquire an unmanned aircraft or related services or equipment described by that section that is entered into before the effective date of this Act is unaffected by this Act;</w:t>
      </w:r>
    </w:p>
    <w:p w:rsidR="003F3435" w:rsidRDefault="0032493E">
      <w:pPr>
        <w:spacing w:line="480" w:lineRule="auto"/>
        <w:ind w:firstLine="1440"/>
        <w:jc w:val="both"/>
      </w:pPr>
      <w:r>
        <w:t xml:space="preserve">(2)</w:t>
      </w:r>
      <w:r xml:space="preserve">
        <w:t> </w:t>
      </w:r>
      <w:r xml:space="preserve">
        <w:t> </w:t>
      </w:r>
      <w:r>
        <w:t xml:space="preserve">applies to the use of an unmanned aircraft or any related services or equipment two years after the effective date of this Act, regardless of whether the unmanned aircraft or any related services or equipment were acquired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