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1990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8,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21,</w:t>
      </w:r>
      <w:r xml:space="preserve">
        <w:t> </w:t>
      </w:r>
      <w:r>
        <w:t xml:space="preserve">2023, read first time and referred to Committee on Local Government;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7, Nays 0;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1990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procedure for selecting a provider of professional services by certain water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49.057(d),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In selecting attorneys, engineers, auditors, financial advisors, or other professional consultants, the</w:t>
      </w:r>
      <w:r>
        <w:t xml:space="preserve">] district shall follow the procedures provided in Subchapter A, Chapter 2254, Government Code (Professional Services Procurement Act)</w:t>
      </w:r>
      <w:r>
        <w:rPr>
          <w:u w:val="single"/>
        </w:rPr>
        <w:t xml:space="preserve">, when selecting a provider of professional services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1990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