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1993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secretary of state to order a new election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14, Election Code, is amended by adding Subtitle E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SUBTITLE E.  ORDER FOR NEW ELECTION BY SECRETARY OF STATE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249.  SHORTAGE OF BALLOTS IN CERTAIN COUNTIES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249.001.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STANDARD FOR NEW ELECTION.  Notwithstanding any other law, in a county with a population of 2.7 million or more, the secretary of state shall order a new election if the secretary has good cause to believe that at least two percent of the total number of polling places in the county: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ran out of usable ballots during voting hours;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did not receive supplemental ballots under Section 51.008 for one or more hours after making a request for supplemental ballots to the authority responsible for distributing election supplies.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249.002.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NEW ELECTION.  In establishing the procedures for a new election ordered under this chapter, the secretary of state shall have the same authority granted to a district court under Section 231.007.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249.003.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EXPENSES OF NEW ELECTION.  The expenses of a new election ordered by the secretary of state under this chapter are paid from the same fund and by the same authority that paid the expenses of the previous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