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88R12128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1996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personnel policies of the Texas Department of Criminal Justice and to certain related duties of the Texas Board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492, Government Code, is amended by adding Section 492.018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492.018.</w:t>
      </w:r>
      <w:r>
        <w:rPr>
          <w:u w:val="single"/>
        </w:rPr>
        <w:t xml:space="preserve"> </w:t>
      </w:r>
      <w:r>
        <w:rPr>
          <w:u w:val="single"/>
        </w:rPr>
        <w:t xml:space="preserve"> </w:t>
      </w:r>
      <w:r>
        <w:rPr>
          <w:u w:val="single"/>
        </w:rPr>
        <w:t xml:space="preserve">PROFESSIONAL STANDARDS AND EMPLOYMENT OVERSIGHT COMMITTEE.  (a)  The board shall create a professional standards and employment oversight committee composed of board members to review the implementation of and make necessary recommendations for rule and policy changes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professional development of correctional officers, supervisory personnel, and other department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recruitment and retention policies;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employment-related grievance procedures established under Section 493.035.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submit a report biennially to the legislature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results of the review conducted under Subsection (a) and any recommendations made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contained in the report submitted by the department to the board under Section 493.035(f).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EMPLOYMENT-RELATED GRIEVANCE PROCEDURE.  (a)  The board shall establish procedures and practices through which the department will address employment-related grievances.  The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process by which an employee's employment-related grievance is submitted to the lowest appropriate level of management, with a subsequent appeal submitted to a higher level in the chain of command, on completion of which the employee may choose to submit the grievance to binding arbitration with an impartial third party;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program to advertise and explain the grievance procedure to all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to the employment-related grievance fails to comply with any applicable time limit adopted by the board for submitting or responding to a grievance, the party may not prevail in the grievance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may select a person to represent the employee and participate in the employment-related grievance process on behalf of the employee.  Any grievance proceeding in which a department employee serves as a representative shall be held during the normal business hours of the department, unless the employee and the department agree otherwise.  Attending a grievance proceeding as a party to the proceeding or as a representative of a party is part of an employee's regular employment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approval of the employee in the employment-related grievance action, the department and the employee may enter into binding arbitration on the action.  To facilitate arbitration,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the approval of the employee, appoint a governmental officer or employee, or a private individual, to serve as an impartial third party in a binding arbitration;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the services of an impartial third party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agreement with the Center for Public Policy Dispute Resolution at The University of Texas School of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alternative dispute resolution system established under Chapter 152, Civil Practice and Remedies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 governmental body or a federal agency;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agreement with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not retaliate against an employee who files an employment-related grievance.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submit annually to the board a report on the department's use of the employment-related grievance process.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grievances filed;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brief description of each grievance filed;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final disposition of each grievance.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Texas Board of Criminal Justice shall establish a professional standards and employment oversight committee as required by Section 492.018, Government Code, as added by this Act, and not later than April 1, 2024, shall establish the procedures and practices required by Section 493.035,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