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1998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2023; March</w:t>
      </w:r>
      <w:r xml:space="preserve">
        <w:t> </w:t>
      </w:r>
      <w:r>
        <w:t xml:space="preserve">21,</w:t>
      </w:r>
      <w:r xml:space="preserve">
        <w:t> </w:t>
      </w:r>
      <w:r>
        <w:t xml:space="preserve">2023, read first time and referred to Committee on Local Government; April</w:t>
      </w:r>
      <w:r xml:space="preserve">
        <w:t> </w:t>
      </w:r>
      <w:r>
        <w:t xml:space="preserve">17,</w:t>
      </w:r>
      <w:r xml:space="preserve">
        <w:t> </w:t>
      </w:r>
      <w:r>
        <w:t xml:space="preserve">2023, reported favorably by the following vote:</w:t>
      </w:r>
      <w:r>
        <w:t xml:space="preserve"> </w:t>
      </w:r>
      <w:r>
        <w:t xml:space="preserve"> </w:t>
      </w:r>
      <w:r>
        <w:t xml:space="preserve">Yeas 9, Nays 0; April</w:t>
      </w:r>
      <w:r xml:space="preserve">
        <w:t> </w:t>
      </w:r>
      <w:r>
        <w:t xml:space="preserve">17,</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calculation of certain ad valorem tax rates.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5.07(g), Tax Code, is amended to read as follows:</w:t>
      </w:r>
    </w:p>
    <w:p w:rsidR="003F3435" w:rsidRDefault="0032493E">
      <w:pPr>
        <w:spacing w:line="480" w:lineRule="auto"/>
        <w:ind w:firstLine="720"/>
        <w:jc w:val="both"/>
      </w:pPr>
      <w:r>
        <w:t xml:space="preserve">(g)</w:t>
      </w:r>
      <w:r xml:space="preserve">
        <w:t> </w:t>
      </w:r>
      <w:r xml:space="preserve">
        <w:t> </w:t>
      </w:r>
      <w:r>
        <w:t xml:space="preserve">The forms described by Subsection (f) must be in an electronic format and:</w:t>
      </w:r>
    </w:p>
    <w:p w:rsidR="003F3435" w:rsidRDefault="0032493E">
      <w:pPr>
        <w:spacing w:line="480" w:lineRule="auto"/>
        <w:ind w:firstLine="1440"/>
        <w:jc w:val="both"/>
      </w:pPr>
      <w:r>
        <w:t xml:space="preserve">(1)</w:t>
      </w:r>
      <w:r xml:space="preserve">
        <w:t> </w:t>
      </w:r>
      <w:r xml:space="preserve">
        <w:t> </w:t>
      </w:r>
      <w:r>
        <w:t xml:space="preserve">have blanks that can be filled in electronically;</w:t>
      </w:r>
    </w:p>
    <w:p w:rsidR="003F3435" w:rsidRDefault="0032493E">
      <w:pPr>
        <w:spacing w:line="480" w:lineRule="auto"/>
        <w:ind w:firstLine="1440"/>
        <w:jc w:val="both"/>
      </w:pPr>
      <w:r>
        <w:t xml:space="preserve">(2)</w:t>
      </w:r>
      <w:r xml:space="preserve">
        <w:t> </w:t>
      </w:r>
      <w:r xml:space="preserve">
        <w:t> </w:t>
      </w:r>
      <w:r>
        <w:t xml:space="preserve">be capable of being certified by the designated officer or employee after completion as accurately calculating the applicable tax rates and using values that are the same as the values shown in, as applicable:</w:t>
      </w:r>
    </w:p>
    <w:p w:rsidR="003F3435" w:rsidRDefault="0032493E">
      <w:pPr>
        <w:spacing w:line="480" w:lineRule="auto"/>
        <w:ind w:firstLine="2160"/>
        <w:jc w:val="both"/>
      </w:pPr>
      <w:r>
        <w:t xml:space="preserve">(A)</w:t>
      </w:r>
      <w:r xml:space="preserve">
        <w:t> </w:t>
      </w:r>
      <w:r xml:space="preserve">
        <w:t> </w:t>
      </w:r>
      <w:r>
        <w:t xml:space="preserve">the taxing unit's certified appraisal roll; or</w:t>
      </w:r>
    </w:p>
    <w:p w:rsidR="003F3435" w:rsidRDefault="0032493E">
      <w:pPr>
        <w:spacing w:line="480" w:lineRule="auto"/>
        <w:ind w:firstLine="2160"/>
        <w:jc w:val="both"/>
      </w:pPr>
      <w:r>
        <w:t xml:space="preserve">(B)</w:t>
      </w:r>
      <w:r xml:space="preserve">
        <w:t> </w:t>
      </w:r>
      <w:r xml:space="preserve">
        <w:t> </w:t>
      </w:r>
      <w:r>
        <w:t xml:space="preserve">the certified estimate of taxable value of property in the taxing unit prepared under Section 26.01(a-1);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be capable of being electronically incorporated into the property tax database maintained by each appraisal district under Section 26.17 and submitted electronically to the county assessor-collector of each county in which all or part of the territory of the taxing unit is located</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capable of including for each entry, other than an entry making a mathematical calculation, a hyperlink to a document that evidences the accuracy of the entry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26.03, Tax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a taxing unit in which a tax rate calculation for a tax year is affected by the application of this section, the adjustments to the value of property taxable by the unit and to the amount of taxes imposed or collected by the unit prescribed by this section shall be calculated separately for each reinvestment zone in which the taxing unit participates.  The comptroller shall ensure that the tax rate calculation forms prescribed under Section 5.07 provide for the calculations to be made in the manner required by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26.04(d-1), Tax Code, is amended to read as follows:</w:t>
      </w:r>
    </w:p>
    <w:p w:rsidR="003F3435" w:rsidRDefault="0032493E">
      <w:pPr>
        <w:spacing w:line="480" w:lineRule="auto"/>
        <w:ind w:firstLine="720"/>
        <w:jc w:val="both"/>
      </w:pPr>
      <w:r>
        <w:t xml:space="preserve">(d-1)</w:t>
      </w:r>
      <w:r xml:space="preserve">
        <w:t> </w:t>
      </w:r>
      <w:r xml:space="preserve">
        <w:t> </w:t>
      </w:r>
      <w:r>
        <w:t xml:space="preserve">The designated officer or employee shall use the tax rate calculation forms prescribed by the comptroller under Section 5.07 in calculating the no-new-revenue tax rate and the voter-approval tax rate. </w:t>
      </w:r>
      <w:r>
        <w:t xml:space="preserve"> </w:t>
      </w:r>
      <w:r>
        <w:rPr>
          <w:u w:val="single"/>
        </w:rPr>
        <w:t xml:space="preserve">The designated officer or employee must include a hyperlink described by Section 5.07(g)(4) for each entry on the form, other than an entry making a mathematical calculation.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to the calculation of an ad valorem tax rate for a tax year that begins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2024.</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