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2005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form of an appraisal review board order determining a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 Tax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prescribe the form that an appraisal review board shall use to make a determination required to be made by written order under this title. </w:t>
      </w:r>
      <w:r>
        <w:rPr>
          <w:u w:val="single"/>
        </w:rPr>
        <w:t xml:space="preserve"> </w:t>
      </w:r>
      <w:r>
        <w:rPr>
          <w:u w:val="single"/>
        </w:rPr>
        <w:t xml:space="preserve">The form must require an appraisal review board to include for the property subject to the order the property owner's name, the property's identification number, the property's legal description and physical address, and any other information the comptroller determines necessary. </w:t>
      </w:r>
      <w:r>
        <w:rPr>
          <w:u w:val="single"/>
        </w:rPr>
        <w:t xml:space="preserve"> </w:t>
      </w:r>
      <w:r>
        <w:rPr>
          <w:u w:val="single"/>
        </w:rPr>
        <w:t xml:space="preserve">The comptroller shall post the form on the comptroller's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25.25,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appraisal review board shall issue a written order under this section using the form prescribed by the comptroller under Section 5.07(k).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shall determine each challenge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41.47(a),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hearing a protest shall determine the protest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comptroller of public accounts shall prescribe and post on the comptroller's Internet website the form required by Section 5.07(k), Tax Code, as added by this Act, not later than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appraisal review board order issued on or after the effective date of this Act. </w:t>
      </w:r>
      <w:r>
        <w:t xml:space="preserve"> </w:t>
      </w:r>
      <w:r>
        <w:t xml:space="preserve">An appraisal review board order issued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