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88R7017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2009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certain information in the adoption process and information in certain investigations conducted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162.005(b)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Before placing a child for adoption, the Department of Family and Protective Services, a licensed child-placing agency, or the child's parent or guardian shall compile a report on the available health, social, educational, and genetic history of the child to be adopted </w:t>
      </w:r>
      <w:r>
        <w:rPr>
          <w:u w:val="single"/>
        </w:rPr>
        <w:t xml:space="preserve">and distribute the report as required by this chapter</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ensure that each licensed child-placing agency, single source continuum contractor, or other person placing a child for adoption receives a copy of any portion of the report prepared by the department </w:t>
      </w:r>
      <w:r>
        <w:rPr>
          <w:u w:val="single"/>
        </w:rPr>
        <w:t xml:space="preserve">not later than the 30th day after the date the child's permanency plan is changed to include adoption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162.0062, Family Code, is amended by amending Subsection (a)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prospective adoptive parents of a child are entitled to examine the records and other information relating to the history of the child </w:t>
      </w:r>
      <w:r>
        <w:rPr>
          <w:u w:val="single"/>
        </w:rPr>
        <w:t xml:space="preserve">including confidential information other than the identity of the biological parents and any other person whose identity is confidential</w:t>
      </w:r>
      <w:r>
        <w:t xml:space="preserve">.  The Department of Family and Protective Services, licensed child-placing agency, or other person placing a child for adoption shall inform the prospective adoptive parents of their right to examine the records and other information relating to the history of the child.  The department, licensed child-placing agency, or other person placing the child for adoption shall edit the records and information to protect the identity of the biological parents and any other person whose identity is confidential.</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department, licensed child-placing agency, or other person placing the child for adoption may require a prospective adoptive parent to sign a confidentiality agreement before releasing confidential information under this section.</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department, licensed child-placing agency, or other person placing the child for adoption shall provide the information under this section not later than the 90th day after the date the information is requested.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40, Human Resources Code, is amended by adding Section 40.0051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40.0051.</w:t>
      </w:r>
      <w:r>
        <w:rPr>
          <w:u w:val="single"/>
        </w:rPr>
        <w:t xml:space="preserve"> </w:t>
      </w:r>
      <w:r>
        <w:rPr>
          <w:u w:val="single"/>
        </w:rPr>
        <w:t xml:space="preserve"> </w:t>
      </w:r>
      <w:r>
        <w:rPr>
          <w:u w:val="single"/>
        </w:rPr>
        <w:t xml:space="preserve">CONFIDENTIAL INVESTIGATION INFORMATION.  The department shall, not later than the 90th day after a request is made for information, produce all requested information related to any investigation conducted by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