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2023S0247-1  03/06/23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Schwertner, King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2010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reporting by the market monitor of potential manipulation of the wholesale electric market.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39.1515, Utilities Code, is amended by amending Subsection (f) and adding Subsection (i)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market monitor immediately shall report </w:t>
      </w:r>
      <w:r>
        <w:rPr>
          <w:u w:val="single"/>
        </w:rPr>
        <w:t xml:space="preserve">in writing</w:t>
      </w:r>
      <w:r>
        <w:t xml:space="preserve"> </w:t>
      </w:r>
      <w:r>
        <w:t xml:space="preserve">directly to </w:t>
      </w:r>
      <w:r>
        <w:rPr>
          <w:u w:val="single"/>
        </w:rPr>
        <w:t xml:space="preserve">both</w:t>
      </w:r>
      <w:r>
        <w:t xml:space="preserve"> the commission </w:t>
      </w:r>
      <w:r>
        <w:rPr>
          <w:u w:val="single"/>
        </w:rPr>
        <w:t xml:space="preserve">and commission staff all</w:t>
      </w:r>
      <w:r>
        <w:t xml:space="preserve"> [</w:t>
      </w:r>
      <w:r>
        <w:rPr>
          <w:strike/>
        </w:rPr>
        <w:t xml:space="preserve">any</w:t>
      </w:r>
      <w:r>
        <w:t xml:space="preserve">] potential market manipulations and </w:t>
      </w:r>
      <w:r>
        <w:rPr>
          <w:u w:val="single"/>
        </w:rPr>
        <w:t xml:space="preserve">all</w:t>
      </w:r>
      <w:r>
        <w:t xml:space="preserve"> [</w:t>
      </w:r>
      <w:r>
        <w:rPr>
          <w:strike/>
        </w:rPr>
        <w:t xml:space="preserve">any</w:t>
      </w:r>
      <w:r>
        <w:t xml:space="preserve">] discovered or potential violations of commission rules or rules of the independent organization.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February 1 of each year, the commission shall provide a public report that describes for the previous 12 months: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number of instances in which the market monitor reported potential market manipulation to the commission or commission staff;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laws, regulations, and ERCOT requirements alleged to have been violated by the reported entities;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number of instances reported under Subdivision (1) for which the commission or commission staff initiated enforcement action.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