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 Kolkhorst</w:t>
      </w:r>
      <w:r xml:space="preserve">
        <w:tab wTab="150" tlc="none" cTlc="0"/>
      </w:r>
      <w:r>
        <w:t xml:space="preserve">S.B.</w:t>
      </w:r>
      <w:r xml:space="preserve">
        <w:t> </w:t>
      </w:r>
      <w:r>
        <w:t xml:space="preserve">No.</w:t>
      </w:r>
      <w:r xml:space="preserve">
        <w:t> </w:t>
      </w:r>
      <w:r>
        <w:t xml:space="preserve">2011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13,</w:t>
      </w:r>
      <w:r xml:space="preserve">
        <w:t> </w:t>
      </w:r>
      <w:r>
        <w:t xml:space="preserve">2023, read first time and referred to Committee on Business &amp; Commerce;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2011</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15.023(b-1) and (f), Utilities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w:t>
      </w:r>
      <w:r>
        <w:rPr>
          <w:u w:val="single"/>
        </w:rPr>
        <w:t xml:space="preserve">a voluntary mitigation plan entered into under Subsection (f) or of</w:t>
      </w:r>
      <w:r>
        <w:t xml:space="preserve"> a provision of Section 35.0021 or 38.075 may be in an amount not to exceed $1,000,000 for a violation. </w:t>
      </w:r>
      <w:r>
        <w:t xml:space="preserve"> </w:t>
      </w:r>
      <w:r>
        <w:t xml:space="preserve">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commission may approve the plan only if the commission determines that the plan is in the public interest. </w:t>
      </w:r>
      <w:r>
        <w:rPr>
          <w:u w:val="single"/>
        </w:rPr>
        <w:t xml:space="preserve"> </w:t>
      </w:r>
      <w:r>
        <w:rPr>
          <w:u w:val="single"/>
        </w:rPr>
        <w:t xml:space="preserve">The voluntary mitigation plan must be reviewed at least once every two years and not later than the 90th day after the implementation date of a wholesale market design change. </w:t>
      </w:r>
      <w:r>
        <w:rPr>
          <w:u w:val="single"/>
        </w:rPr>
        <w:t xml:space="preserve"> </w:t>
      </w:r>
      <w:r>
        <w:rPr>
          <w:u w:val="single"/>
        </w:rP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 </w:t>
      </w:r>
      <w:r>
        <w:rPr>
          <w:u w:val="single"/>
        </w:rPr>
        <w:t xml:space="preserve"> </w:t>
      </w:r>
      <w:r>
        <w:rPr>
          <w:u w:val="single"/>
        </w:rPr>
        <w:t xml:space="preserve">Adherence</w:t>
      </w:r>
      <w:r>
        <w:t xml:space="preserve"> </w:t>
      </w:r>
      <w:r>
        <w:t xml:space="preserve">[</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