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2018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camping in a public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364.002(a) and (c), Local Government Code, are amended to read as follows: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A local entity may not adopt or enforce a policy under which the entity prohibits or discourages the enforcement of any public camping ban</w:t>
      </w:r>
      <w:r>
        <w:rPr>
          <w:u w:val="single"/>
        </w:rPr>
        <w:t xml:space="preserve">, including prohibiting or discouraging the investigation or enforcement of violations of a public camping ban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entity may not utilize a property designated to be used by homeless individuals to camp unless the department has submitted and had approved a plan described by the Texas Government Code Sec. 2306.1123(b).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364, Local Government Code, is amended by adding new Sections 364.0021 and 364.0022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364.0021</w:t>
      </w:r>
      <w:r>
        <w:rPr>
          <w:u w:val="single"/>
        </w:rPr>
        <w:t xml:space="preserve"> </w:t>
      </w:r>
      <w:r>
        <w:rPr>
          <w:u w:val="single"/>
        </w:rPr>
        <w:t xml:space="preserve"> </w:t>
      </w:r>
      <w:r>
        <w:rPr>
          <w:u w:val="single"/>
        </w:rPr>
        <w:t xml:space="preserve">COMPLAINTS AND REPORTING.  (a) A local entity must develop and provide a process for a person to file a complaint to the local entity regarding public camping.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entity must report to the attorney general, in form and manner prescribed by the attorney general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number of complaints received on public camping;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disposition of each complaint, including court-ordered diversion programs;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number of citations issued under Section 48.05, Penal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deemed pertinent by the attorney general.</w:t>
      </w:r>
      <w:r>
        <w:t xml:space="preserve"> </w:t>
      </w:r>
    </w:p>
    <w:p w:rsidR="003F3435" w:rsidRDefault="0032493E">
      <w:pPr>
        <w:spacing w:line="480" w:lineRule="auto"/>
        <w:ind w:firstLine="1440"/>
        <w:jc w:val="both"/>
      </w:pPr>
      <w:r>
        <w:rPr>
          <w:u w:val="single"/>
        </w:rPr>
        <w:t xml:space="preserve">Sec.</w:t>
      </w:r>
      <w:r>
        <w:rPr>
          <w:u w:val="single"/>
        </w:rPr>
        <w:t xml:space="preserve"> </w:t>
      </w:r>
      <w:r>
        <w:rPr>
          <w:u w:val="single"/>
        </w:rPr>
        <w:t xml:space="preserve">364.0022.</w:t>
      </w:r>
      <w:r>
        <w:rPr>
          <w:u w:val="single"/>
        </w:rPr>
        <w:t xml:space="preserve"> </w:t>
      </w:r>
      <w:r>
        <w:rPr>
          <w:u w:val="single"/>
        </w:rPr>
        <w:t xml:space="preserve"> </w:t>
      </w:r>
      <w:r>
        <w:rPr>
          <w:u w:val="single"/>
        </w:rPr>
        <w:t xml:space="preserve">ENFORCEMENT.  (a) For a complaint received under Section 364.0021, the local entity must take an action within 90 days.</w:t>
      </w:r>
      <w:r>
        <w:t xml:space="preserve"> </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If a local entity does not take action within the prescribed time the local entity will be deemed a "violating local entity" by the attorney general.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or the Department of Public Safety may initiate an action to enforce Section 48.05, Penal Code, and recover any costs associated with enforcing this chapter from a violating local entity in accordance with Section 321.5026, Tax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48.05, Penal Code, is amended by amending subsection (i) and adding new subsection (k) to read as follows:</w:t>
      </w:r>
    </w:p>
    <w:p w:rsidR="003F3435" w:rsidRDefault="0032493E">
      <w:pPr>
        <w:spacing w:line="480" w:lineRule="auto"/>
        <w:ind w:firstLine="720"/>
        <w:jc w:val="both"/>
      </w:pPr>
      <w:r>
        <w:t xml:space="preserve">(i)</w:t>
      </w:r>
      <w:r xml:space="preserve">
        <w:t> </w:t>
      </w:r>
      <w:r xml:space="preserve">
        <w:t> </w:t>
      </w:r>
      <w:r>
        <w:t xml:space="preserve">If the person is arrested or detained solely for an offense under this section, a peace officer enforcing this section shall ensure that all of the person's personal property not designated as contraband under other law is preserved by:</w:t>
      </w:r>
    </w:p>
    <w:p w:rsidR="003F3435" w:rsidRDefault="0032493E">
      <w:pPr>
        <w:spacing w:line="480" w:lineRule="auto"/>
        <w:ind w:firstLine="720"/>
        <w:jc w:val="both"/>
      </w:pPr>
      <w:r>
        <w:t xml:space="preserve">(1)</w:t>
      </w:r>
      <w:r xml:space="preserve">
        <w:t> </w:t>
      </w:r>
      <w:r xml:space="preserve">
        <w:t> </w:t>
      </w:r>
      <w:r>
        <w:t xml:space="preserve">permitting the person to remove all the property from the public place at the time of the person's departure; or</w:t>
      </w:r>
    </w:p>
    <w:p w:rsidR="003F3435" w:rsidRDefault="0032493E">
      <w:pPr>
        <w:spacing w:line="480" w:lineRule="auto"/>
        <w:ind w:firstLine="720"/>
        <w:jc w:val="both"/>
      </w:pPr>
      <w:r>
        <w:t xml:space="preserve">(2)</w:t>
      </w:r>
      <w:r xml:space="preserve">
        <w:t> </w:t>
      </w:r>
      <w:r xml:space="preserve">
        <w:t> </w:t>
      </w:r>
      <w:r>
        <w:t xml:space="preserve">taking custody of </w:t>
      </w:r>
      <w:r>
        <w:rPr>
          <w:u w:val="single"/>
        </w:rPr>
        <w:t xml:space="preserve">non-hazardous personal</w:t>
      </w:r>
      <w:r>
        <w:t xml:space="preserve"> [the] property and allowing the person to retrieve the property after the person is released from custody.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For the purposes of this section, personal property does not include any permanent or semi-permanent structure other than a camping tent.</w:t>
      </w:r>
    </w:p>
    <w:p w:rsidR="003F3435" w:rsidRDefault="0032493E">
      <w:pPr>
        <w:spacing w:line="480" w:lineRule="auto"/>
        <w:ind w:firstLine="2160"/>
        <w:jc w:val="both"/>
      </w:pPr>
      <w:r>
        <w:t xml:space="preserve">SECTION</w:t>
      </w:r>
      <w:r xml:space="preserve">
        <w:t> </w:t>
      </w:r>
      <w:r>
        <w:t xml:space="preserve">4</w:t>
      </w:r>
      <w:r>
        <w:t xml:space="preserve">.</w:t>
      </w:r>
      <w:r xml:space="preserve">
        <w:t> </w:t>
      </w:r>
      <w:r xml:space="preserve">
        <w:t> </w:t>
      </w:r>
      <w:r>
        <w:t xml:space="preserve">Chapter 321, Tax Code, is amended by adding new Section 321.5026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321.5026.</w:t>
      </w:r>
      <w:r>
        <w:rPr>
          <w:u w:val="single"/>
        </w:rPr>
        <w:t xml:space="preserve"> </w:t>
      </w:r>
      <w:r>
        <w:rPr>
          <w:u w:val="single"/>
        </w:rPr>
        <w:t xml:space="preserve"> </w:t>
      </w:r>
      <w:r>
        <w:rPr>
          <w:u w:val="single"/>
        </w:rPr>
        <w:t xml:space="preserve">DISTRIBUTION OF TRUST FUNDS TO VIOLATING LOCAL ENTITIES.  (a) In this section, "violating local entity" means a political subdivisions that is deemed to be a violating local entity for the current state fiscal year under Chapter 364,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321.502, the comptroller may not, before July 1 of each state fiscal year, send to a violating local entity its share of the taxes collected by the comptroller under this chapter during the state fiscal year.  Before sending the violating local entity its share of the taxes, the comptroller shall deduct the amount reported to the comptroller for the violating local entity under Subsection (c) and credit that deducted amount to the general revenue fund.  Money credited to the general revenue fund under this subsection may be appropriated to the attorney general and Department of Public Safety equally.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August 1 of each state fiscal year, the attorney general and Department of Public Safety shall report to the comptroller for each violating local entity the amount of money the state spent in that state fiscal year to provide law enforcement services in that defunding municipality.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Section 321.5026, Tax Code, as added by this</w:t>
      </w:r>
    </w:p>
    <w:p w:rsidR="003F3435" w:rsidRDefault="0032493E">
      <w:pPr>
        <w:spacing w:line="480" w:lineRule="auto"/>
        <w:ind w:firstLine="720"/>
        <w:jc w:val="both"/>
      </w:pPr>
      <w:r>
        <w:t xml:space="preserve">Act, applies only to a distribution of municipal sales and use tax revenue to a municipality in a state fiscal year that begins on or after the effective date of this Act.</w:t>
      </w:r>
    </w:p>
    <w:p w:rsidR="003F3435" w:rsidRDefault="0032493E">
      <w:pPr>
        <w:spacing w:line="480" w:lineRule="auto"/>
        <w:ind w:firstLine="1440"/>
        <w:jc w:val="both"/>
      </w:pPr>
      <w:r>
        <w:t xml:space="preserve">(b)</w:t>
      </w:r>
      <w:r xml:space="preserve">
        <w:t> </w:t>
      </w:r>
      <w:r xml:space="preserve">
        <w:t> </w:t>
      </w:r>
      <w:r>
        <w:t xml:space="preserve">Not later than December 1, 2023, a local entity shall develop and implement a complaint process as required under Section 364.0021, as added by this Act.</w:t>
      </w:r>
    </w:p>
    <w:p w:rsidR="003F3435" w:rsidRDefault="0032493E">
      <w:pPr>
        <w:spacing w:line="480" w:lineRule="auto"/>
        <w:ind w:firstLine="720"/>
        <w:jc w:val="both"/>
      </w:pPr>
      <w:r>
        <w:t xml:space="preserve">(c)</w:t>
      </w:r>
      <w:r xml:space="preserve">
        <w:t> </w:t>
      </w:r>
      <w:r xml:space="preserve">
        <w:t> </w:t>
      </w:r>
      <w:r>
        <w:t xml:space="preserve">Not later than January 1, 2024, the attorney general shall prescribe the manner and form for reporting as required under Section 364.0021, as added by this Act.</w:t>
      </w:r>
    </w:p>
    <w:p w:rsidR="003F3435" w:rsidRDefault="0032493E">
      <w:pPr>
        <w:spacing w:line="480" w:lineRule="auto"/>
        <w:ind w:firstLine="720"/>
        <w:jc w:val="both"/>
      </w:pPr>
      <w:r>
        <w:t xml:space="preserve">(d)</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