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88R9417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Middleton, 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2025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election precinct boundaries and the establishment of polling places.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42.0051(b),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County election precincts in a county with a population of 250,000 or more may also be combined under Subsection (a) if the changes result in county election precincts with 500 or more but fewer than </w:t>
      </w:r>
      <w:r>
        <w:rPr>
          <w:u w:val="single"/>
        </w:rPr>
        <w:t xml:space="preserve">5,000</w:t>
      </w:r>
      <w:r>
        <w:t xml:space="preserve"> [</w:t>
      </w:r>
      <w:r>
        <w:rPr>
          <w:strike/>
        </w:rPr>
        <w:t xml:space="preserve">750</w:t>
      </w:r>
      <w:r>
        <w:t xml:space="preserve">] registered voters.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43.007, Election Code, is amended by amending Subsection (a) and adding Subsection (q)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secretary of state shall implement a program to allow each commissioners court participating in the program to [</w:t>
      </w:r>
      <w:r>
        <w:rPr>
          <w:strike/>
        </w:rPr>
        <w:t xml:space="preserve">eliminate county election precinct polling places and</w:t>
      </w:r>
      <w:r>
        <w:t xml:space="preserve">] establish countywide polling places </w:t>
      </w:r>
      <w:r>
        <w:rPr>
          <w:u w:val="single"/>
        </w:rPr>
        <w:t xml:space="preserve">at each county election precinct</w:t>
      </w:r>
      <w:r>
        <w:t xml:space="preserve">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any election required to be conducted by the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election held as part of a joint election agreement with a county under Chapter 271;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any election held under contract for election services with a county under Subchapter D, Chapter 31;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each primary election and runoff primary election if: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county chair or county executive committee of each political party participating in a joint primary election under Section 172.126 agrees to the use of countywide polling places;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county chair or county executive committee of each political party required to nominate candidates by primary election agrees to use the same countywide polling places;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each election of a political subdivision located in the county that is held jointly with an election described by Subdivision (3) or (4).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(q)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countywide polling place must be provided with a poll list for the entire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43.007(f), (g), (h), (m), and (n), Election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2025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