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Texas Innovative Adult Career Education (ACE) Grant Program by the Texas Higher Education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136.001, Education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"Nonprofit organization" means an organization exempt from federal income taxation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establish and administer the Texas Innovative Adult Career Education (ACE) Grant Program to provide grants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eligible nonprofit workforce intermediary and job training organizations;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eligible nonprofit organizations providing job training to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136.006.</w:t>
      </w:r>
      <w:r xml:space="preserve">
        <w:t> </w:t>
      </w:r>
      <w:r xml:space="preserve">
        <w:t> </w:t>
      </w:r>
      <w:r>
        <w:t xml:space="preserve">ELIGIBLE ORGANIZATIONS. </w:t>
      </w:r>
      <w:r>
        <w:t xml:space="preserve"> </w:t>
      </w:r>
      <w:r>
        <w:t xml:space="preserve">(a) </w:t>
      </w:r>
      <w:r>
        <w:t xml:space="preserve"> </w:t>
      </w:r>
      <w:r>
        <w:t xml:space="preserve">To be eligible for a grant under the program, a nonprofit workforce intermediary and job training organization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eligible low-income students,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above-average completion of developmental education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above-average persistence rates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above-average certificate or degree completion rates by participating students within a three-year period compared to demographically comparable public junior college, public state college, and public technical institute students;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To be eligible for a grant under the program, a nonprofit organization providing job training services to veterans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veterans,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measures prescribed by Subsections (a)(4)(A)-(C);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rapid attainment of civilian workforce credentials;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matching funds required under Subsection (a)(5) or (a-1)(5) may be obtained from any source available to the organization, including in-kind contributions, community or foundation grants, individual contributions, and local governmental agency operating funds. </w:t>
      </w:r>
      <w:r>
        <w:t xml:space="preserve"> 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may adopt rules requiring an organization to demonstrate compliance with the matching funds requirement before the payment of the next installment under an awarded grant.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136.007.</w:t>
      </w:r>
      <w:r xml:space="preserve">
        <w:t> </w:t>
      </w:r>
      <w:r xml:space="preserve">
        <w:t> </w:t>
      </w:r>
      <w:r>
        <w:t xml:space="preserve">RULES.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adopt rules as necessary for the administration of this chapter</w:t>
      </w:r>
      <w:r>
        <w:rPr>
          <w:u w:val="single"/>
        </w:rPr>
        <w:t xml:space="preserve">, including</w:t>
      </w:r>
      <w:r>
        <w:t xml:space="preserve"> [</w:t>
      </w:r>
      <w:r>
        <w:rPr>
          <w:strike/>
        </w:rPr>
        <w:t xml:space="preserve">in the manner provided by Chapter 2001, Government Code, for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grant administrator, with recommendations of the program advisory board, shall adopt</w:t>
      </w:r>
      <w:r>
        <w:t xml:space="preserve">] rules regarding eligibility, program tuition and fees, administrative costs, matching funds, and case management and other supports for the program. </w:t>
      </w:r>
      <w:r>
        <w:t xml:space="preserve"> </w:t>
      </w:r>
      <w:r>
        <w:t xml:space="preserve">The rules may include provisions for the payment in periodic installments of grant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Chapter 136, Education Code,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Sections 136.002 and 136.004;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136.005(a-1).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