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88R11769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federal money provided under the Cranston-Gonzalez National Affordable Housing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2306.111,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money provided to this state under the Cranston-Gonzalez National Affordable Housing Act (42 U.S.C. Section 12701 et seq.) as a one-time lump sum for a specified use: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subject to the allocation requirements under this section or the allocation formula developed by the department under Section 2306.1115;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allocated for the benefit of any area of this state in the manner specified under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