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governing body of an issuer may not authorize an anticipation note to pay a contractual obligation to be incurred if a bond proposition to authorize the issuance of bonds for the same purpose was submitted to the voters during the preceding five years and failed to be approved. </w:t>
      </w:r>
      <w:r>
        <w:rPr>
          <w:u w:val="single"/>
        </w:rPr>
        <w:t xml:space="preserve"> </w:t>
      </w:r>
      <w:r>
        <w:rPr>
          <w:u w:val="single"/>
        </w:rPr>
        <w:t xml:space="preserve">The governing body of an issuer may authorize an anticipation note that the governing body is otherwise prohibited from authorizing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finance the cleanup, mitigation, or remediation of a natural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comply with a federal court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