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2035</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9,</w:t>
      </w:r>
      <w:r xml:space="preserve">
        <w:t> </w:t>
      </w:r>
      <w:r>
        <w:t xml:space="preserve">2023; March</w:t>
      </w:r>
      <w:r xml:space="preserve">
        <w:t> </w:t>
      </w:r>
      <w:r>
        <w:t xml:space="preserve">21,</w:t>
      </w:r>
      <w:r xml:space="preserve">
        <w:t> </w:t>
      </w:r>
      <w:r>
        <w:t xml:space="preserve">2023, read first time and referred to Committee on Local Government; April</w:t>
      </w:r>
      <w:r xml:space="preserve">
        <w:t> </w:t>
      </w:r>
      <w:r>
        <w:t xml:space="preserve">19,</w:t>
      </w:r>
      <w:r xml:space="preserve">
        <w:t> </w:t>
      </w:r>
      <w:r>
        <w:t xml:space="preserve">2023, reported favorably by the following vote:</w:t>
      </w:r>
      <w:r>
        <w:t xml:space="preserve"> </w:t>
      </w:r>
      <w:r>
        <w:t xml:space="preserve"> </w:t>
      </w:r>
      <w:r>
        <w:t xml:space="preserve">Yeas 6, Nays 2; April</w:t>
      </w:r>
      <w:r xml:space="preserve">
        <w:t> </w:t>
      </w:r>
      <w:r>
        <w:t xml:space="preserve">19,</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Parker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issuance of certain anticipation notes and certificates of obligation.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1431.002,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provided by this subsection, the governing body of an issuer may not authorize an anticipation note to pay a contractual obligation to be incurred if a bond proposition to authorize the issuance of bonds for the same purpose was submitted to the voters during the preceding five years and failed to be approved. </w:t>
      </w:r>
      <w:r>
        <w:rPr>
          <w:u w:val="single"/>
        </w:rPr>
        <w:t xml:space="preserve"> </w:t>
      </w:r>
      <w:r>
        <w:rPr>
          <w:u w:val="single"/>
        </w:rPr>
        <w:t xml:space="preserve">The governing body of an issuer may authorize an anticipation note that the governing body is otherwise prohibited from authorizing under this subsection: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 case described by Section 271.056(1), (2), or (3),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comply with a state or federal law, rule, or regulation if the issuer has been officially notified of noncompliance with the law, rule, or regulation.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1431.003(b), Government Code, is amended to read as follows:</w:t>
      </w:r>
    </w:p>
    <w:p w:rsidR="003F3435" w:rsidRDefault="0032493E">
      <w:pPr>
        <w:spacing w:line="480" w:lineRule="auto"/>
        <w:ind w:firstLine="720"/>
        <w:jc w:val="both"/>
      </w:pPr>
      <w:r>
        <w:t xml:space="preserve">(b)</w:t>
      </w:r>
      <w:r xml:space="preserve">
        <w:t> </w:t>
      </w:r>
      <w:r xml:space="preserve">
        <w:t> </w:t>
      </w:r>
      <w:r>
        <w:t xml:space="preserve">Notwithstanding anything in this chapter to the contrary </w:t>
      </w:r>
      <w:r>
        <w:rPr>
          <w:u w:val="single"/>
        </w:rPr>
        <w:t xml:space="preserve">and except as provided by Section 1431.002(d)</w:t>
      </w:r>
      <w:r>
        <w:t xml:space="preserve">, the governing body may exercise the authority granted to the governing body of an issuer with regard to issuance of obligations under Chapter 1371, except that the prohibition in that chapter on the repayment of an obligation with ad valorem taxes does not apply to an issuer exercising the authority granted by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271.047(d), Local Government Code, is amended to read as follows:</w:t>
      </w:r>
    </w:p>
    <w:p w:rsidR="003F3435" w:rsidRDefault="0032493E">
      <w:pPr>
        <w:spacing w:line="480" w:lineRule="auto"/>
        <w:ind w:firstLine="720"/>
        <w:jc w:val="both"/>
      </w:pPr>
      <w:r>
        <w:t xml:space="preserve">(d)</w:t>
      </w:r>
      <w:r xml:space="preserve">
        <w:t> </w:t>
      </w:r>
      <w:r xml:space="preserve">
        <w:t> </w:t>
      </w:r>
      <w:r>
        <w:t xml:space="preserve">Except as provided by this subsection, the governing body of an issuer may not authorize a certificate to pay a contractual obligation to be incurred if a bond proposition to authorize the issuance of bonds for the same purpose was submitted to the voters during the preceding </w:t>
      </w:r>
      <w:r>
        <w:rPr>
          <w:u w:val="single"/>
        </w:rPr>
        <w:t xml:space="preserve">five</w:t>
      </w:r>
      <w:r>
        <w:t xml:space="preserve"> [</w:t>
      </w:r>
      <w:r>
        <w:rPr>
          <w:strike/>
        </w:rPr>
        <w:t xml:space="preserve">three</w:t>
      </w:r>
      <w:r>
        <w:t xml:space="preserve">] years and failed to be approved. A governing body may authorize a certificate that the governing body is otherwise prohibited from authorizing under this subsection:</w:t>
      </w:r>
    </w:p>
    <w:p w:rsidR="003F3435" w:rsidRDefault="0032493E">
      <w:pPr>
        <w:spacing w:line="480" w:lineRule="auto"/>
        <w:ind w:firstLine="1440"/>
        <w:jc w:val="both"/>
      </w:pPr>
      <w:r>
        <w:t xml:space="preserve">(1)</w:t>
      </w:r>
      <w:r xml:space="preserve">
        <w:t> </w:t>
      </w:r>
      <w:r xml:space="preserve">
        <w:t> </w:t>
      </w:r>
      <w:r>
        <w:t xml:space="preserve">in a case described by </w:t>
      </w:r>
      <w:r>
        <w:rPr>
          <w:u w:val="single"/>
        </w:rPr>
        <w:t xml:space="preserve">Section 271.056(1), (2), or (3)</w:t>
      </w:r>
      <w:r>
        <w:t xml:space="preserve"> [</w:t>
      </w:r>
      <w:r>
        <w:rPr>
          <w:strike/>
        </w:rPr>
        <w:t xml:space="preserve">Sections 271.056(1)-(3)</w:t>
      </w:r>
      <w:r>
        <w:t xml:space="preserve">]; and</w:t>
      </w:r>
    </w:p>
    <w:p w:rsidR="003F3435" w:rsidRDefault="0032493E">
      <w:pPr>
        <w:spacing w:line="480" w:lineRule="auto"/>
        <w:ind w:firstLine="1440"/>
        <w:jc w:val="both"/>
      </w:pPr>
      <w:r>
        <w:t xml:space="preserve">(2)</w:t>
      </w:r>
      <w:r xml:space="preserve">
        <w:t> </w:t>
      </w:r>
      <w:r xml:space="preserve">
        <w:t> </w:t>
      </w:r>
      <w:r>
        <w:t xml:space="preserve">to comply with a state or federal law, rule, or regulation if the political subdivision has been officially notified of noncompliance with the law, rule, or regulation.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anticipation note or certificate of obligation authorized to be issued on or after the effective date of this Act. An anticipation note or certificate of obligation authorized to be issued before the effective date of this Act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