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88R11735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2036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biosecurity and other sensitive information shared with the Texas Animal Health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161, Agriculture Code, is amended by adding Section 161.009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161.009.</w:t>
      </w:r>
      <w:r>
        <w:rPr>
          <w:u w:val="single"/>
        </w:rPr>
        <w:t xml:space="preserve"> </w:t>
      </w:r>
      <w:r>
        <w:rPr>
          <w:u w:val="single"/>
        </w:rPr>
        <w:t xml:space="preserve"> </w:t>
      </w:r>
      <w:r>
        <w:rPr>
          <w:u w:val="single"/>
        </w:rPr>
        <w:t xml:space="preserve">CONFIDENTIALITY OF BIOSECURITY AND OTHER SENSITIVE INFORMATION.  (a) </w:t>
      </w:r>
      <w:r>
        <w:rPr>
          <w:u w:val="single"/>
        </w:rPr>
        <w:t xml:space="preserve"> </w:t>
      </w:r>
      <w:r>
        <w:rPr>
          <w:u w:val="single"/>
        </w:rPr>
        <w:t xml:space="preserve">Except as provided by Subsections (b) and (c), information held by the commission is confidential and excepted from disclosure under Chapter 552, Government Code, if the information consists of or relates to a biosecurity plan, a secure food supply plan, an emergency preparedness plan, or biosecurity data that was voluntarily provided to the commission by an owner or caretaker of an animal.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release information described by Subsection (a)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attorney general's office, for the purpose of law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secretary of the United States Department of Agriculture, for the purpose of animal health protection;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secretary of the Department of Homeland Security, for the purpose of homeland security;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 of State Health Services, for the purpose of protecting the public health from zoonotic diseases;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person, if required by a court order;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federal, state, municipal, or county emergency management authority, for the purpose of management or response to natural or man-made disasters;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person the executive director of the commission considers appropriate,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executive director determines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livestock may be threatened by a disease, agent, or pest;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release of the information is related to actions the commission may take in performance of its powers and duties;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executive director determines that the release of the information is necessary for emergency management purposes under Chapter 418,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commission's release of confidential information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affect the confidentiality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an offense under Section 552.352,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a voluntary disclosure for purposes of Section 552.007,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