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88R8943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carrying of a handgun by a member of a criminal street gang while engaged in criminal activity; creating a criminal offense; changing the eligibility for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46.02(a-9), Penal Code;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Section 46.02(a-9), Penal Code;</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under Section 46.02(a-9), Penal Code;</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46.02, Penal Code, is amended by adding Subsections (a-9), (a-10), and (f) to read as follows:</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person who is a member of a criminal street gang, as defined by Section 71.01,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carries on or about his or her person a handgun, including carrying a handgun in a motor vehicle or watercraft that is owned by the person or under the person's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engaged in criminal activity, other than a Class C misdemeanor that is a violation of a law or ordinance regulating traffic or boating;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on the person's own property or property under the person's control or on private property with the consent of the owner of the property.</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If conduct constituting an offense under Subsection (a-9) also constitutes an offense under Subsection (a-1)(2)(A), the actor may be prosecuted only under Subsection (a-9).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Subsection (a-9) is a felony of the third degree.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46.04(e),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w:t>
      </w:r>
      <w:r>
        <w:rPr>
          <w:strike/>
        </w:rPr>
        <w:t xml:space="preserve">(a-1),</w:t>
      </w:r>
      <w:r>
        <w:t xml:space="preserve">] (b)[</w:t>
      </w:r>
      <w:r>
        <w:rPr>
          <w:strike/>
        </w:rPr>
        <w:t xml:space="preserve">,</w:t>
      </w:r>
      <w:r>
        <w:t xml:space="preserve">] or (c) is a Class A misdemeanor.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Sections 46.02 </w:t>
      </w:r>
      <w:r>
        <w:rPr>
          <w:u w:val="single"/>
        </w:rPr>
        <w:t xml:space="preserve">and</w:t>
      </w:r>
      <w:r>
        <w:t xml:space="preserve">[</w:t>
      </w:r>
      <w:r>
        <w:rPr>
          <w:strike/>
        </w:rPr>
        <w:t xml:space="preserve">,</w:t>
      </w:r>
      <w:r>
        <w:t xml:space="preserve">] 46.03(a)(14)[</w:t>
      </w:r>
      <w:r>
        <w:rPr>
          <w:strike/>
        </w:rPr>
        <w:t xml:space="preserve">, and 46.04(a-1)</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46.04(a-1), Penal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(b)</w:t>
      </w:r>
      <w:r xml:space="preserve">
        <w:t> </w:t>
      </w:r>
      <w:r xml:space="preserve">
        <w:t> </w:t>
      </w:r>
      <w:r>
        <w:t xml:space="preserve">The change in law made by this Act in amending Article 17.03(b-2), Code of Criminal Procedure,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